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310D3">
      <w:pPr>
        <w:pStyle w:val="a3"/>
        <w:divId w:val="188062259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80622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1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1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108027255</w:t>
            </w:r>
          </w:p>
        </w:tc>
        <w:tc>
          <w:tcPr>
            <w:tcW w:w="0" w:type="auto"/>
            <w:vAlign w:val="center"/>
            <w:hideMark/>
          </w:tcPr>
          <w:p w:rsidR="00000000" w:rsidRDefault="00A310D3">
            <w:pPr>
              <w:rPr>
                <w:rFonts w:eastAsia="Times New Roman"/>
              </w:rPr>
            </w:pPr>
          </w:p>
        </w:tc>
      </w:tr>
      <w:tr w:rsidR="00000000">
        <w:trPr>
          <w:divId w:val="1880622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1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1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10D3">
            <w:pPr>
              <w:rPr>
                <w:rFonts w:eastAsia="Times New Roman"/>
              </w:rPr>
            </w:pPr>
          </w:p>
        </w:tc>
      </w:tr>
      <w:tr w:rsidR="00000000">
        <w:trPr>
          <w:divId w:val="1880622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1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31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107288790</w:t>
            </w:r>
          </w:p>
        </w:tc>
        <w:tc>
          <w:tcPr>
            <w:tcW w:w="0" w:type="auto"/>
            <w:vAlign w:val="center"/>
            <w:hideMark/>
          </w:tcPr>
          <w:p w:rsidR="00000000" w:rsidRDefault="00A310D3">
            <w:pPr>
              <w:rPr>
                <w:rFonts w:eastAsia="Times New Roman"/>
              </w:rPr>
            </w:pPr>
          </w:p>
        </w:tc>
      </w:tr>
      <w:tr w:rsidR="00000000">
        <w:trPr>
          <w:divId w:val="1880622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1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1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1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80622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1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1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1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310D3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2"/>
        <w:gridCol w:w="57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10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0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</w:t>
            </w:r>
            <w:r>
              <w:rPr>
                <w:rFonts w:eastAsia="Times New Roman"/>
              </w:rPr>
              <w:t>7392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0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0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0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Спорткомплекс «Лужники», Большая спортивная арена, г. Москва, ул. Лужн</w:t>
            </w:r>
            <w:r>
              <w:rPr>
                <w:rFonts w:eastAsia="Times New Roman"/>
              </w:rPr>
              <w:br/>
              <w:t>ики 24, стр. 1, сектор D7, 2 этаж, помещение 21109 «Медиацентр»;</w:t>
            </w:r>
          </w:p>
        </w:tc>
      </w:tr>
    </w:tbl>
    <w:p w:rsidR="00000000" w:rsidRDefault="00A310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310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10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10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10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10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10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10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10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A310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1027392X69578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vAlign w:val="center"/>
            <w:hideMark/>
          </w:tcPr>
          <w:p w:rsidR="00000000" w:rsidRDefault="00A310D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310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10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10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10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0D3">
            <w:pPr>
              <w:rPr>
                <w:rFonts w:eastAsia="Times New Roman"/>
              </w:rPr>
            </w:pPr>
          </w:p>
        </w:tc>
      </w:tr>
    </w:tbl>
    <w:p w:rsidR="00000000" w:rsidRDefault="00A310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5"/>
        <w:gridCol w:w="208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10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</w:t>
            </w:r>
            <w:r>
              <w:rPr>
                <w:rFonts w:eastAsia="Times New Roman"/>
              </w:rPr>
              <w:t>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10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https://lk.rrost.ru/.</w:t>
            </w:r>
          </w:p>
        </w:tc>
      </w:tr>
    </w:tbl>
    <w:p w:rsidR="00000000" w:rsidRDefault="00A310D3">
      <w:pPr>
        <w:rPr>
          <w:rFonts w:eastAsia="Times New Roman"/>
        </w:rPr>
      </w:pPr>
    </w:p>
    <w:p w:rsidR="00000000" w:rsidRDefault="00A310D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310D3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 (в том числе выплате (объявлении) дивидендов) по результатам 2024 года.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избрании членов Совета директоров Общества. </w:t>
      </w:r>
      <w:r>
        <w:rPr>
          <w:rFonts w:eastAsia="Times New Roman"/>
        </w:rPr>
        <w:br/>
        <w:t xml:space="preserve">3. Об утверждении аудиторской организации Общества. </w:t>
      </w:r>
      <w:r>
        <w:rPr>
          <w:rFonts w:eastAsia="Times New Roman"/>
        </w:rPr>
        <w:br/>
        <w:t xml:space="preserve">4. Об одобрении сделки, совершенной Обществом. </w:t>
      </w:r>
    </w:p>
    <w:p w:rsidR="00000000" w:rsidRDefault="00A310D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</w:t>
      </w:r>
      <w:r>
        <w:t>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</w:t>
      </w:r>
      <w:r>
        <w:t>авления центральным депозитарием доступа к такой информации"</w:t>
      </w:r>
    </w:p>
    <w:p w:rsidR="00000000" w:rsidRDefault="00A310D3">
      <w:pPr>
        <w:pStyle w:val="a3"/>
      </w:pPr>
      <w:r>
        <w:t>4.2 Информация о созыве общего собрания акционеров эмитента</w:t>
      </w:r>
    </w:p>
    <w:p w:rsidR="00000000" w:rsidRDefault="00A310D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</w:t>
        </w:r>
        <w:r>
          <w:rPr>
            <w:rStyle w:val="a4"/>
          </w:rPr>
          <w:t>ес в сети Интернет, по которому можно ознакомиться с дополнительной документацией</w:t>
        </w:r>
      </w:hyperlink>
    </w:p>
    <w:p w:rsidR="00000000" w:rsidRDefault="00A310D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</w:t>
      </w:r>
      <w:r>
        <w:t>ntact your account  manager (495) 956-27-90, (495) 956-27-91</w:t>
      </w:r>
    </w:p>
    <w:p w:rsidR="00000000" w:rsidRDefault="00A310D3">
      <w:pPr>
        <w:rPr>
          <w:rFonts w:eastAsia="Times New Roman"/>
        </w:rPr>
      </w:pPr>
      <w:r>
        <w:rPr>
          <w:rFonts w:eastAsia="Times New Roman"/>
        </w:rPr>
        <w:br/>
      </w:r>
    </w:p>
    <w:p w:rsidR="00A310D3" w:rsidRDefault="00A310D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31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76782"/>
    <w:rsid w:val="00476782"/>
    <w:rsid w:val="00A3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9386A7-6709-49F6-830D-263BDB4E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62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abcdd511b90439cb2fbbfc7cd0ef8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2025-04-28T04:25:00Z</dcterms:created>
  <dcterms:modified xsi:type="dcterms:W3CDTF">2025-04-28T04:25:00Z</dcterms:modified>
</cp:coreProperties>
</file>