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4F14">
      <w:pPr>
        <w:pStyle w:val="a3"/>
        <w:divId w:val="13257427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5742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108025458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</w:p>
        </w:tc>
      </w:tr>
      <w:tr w:rsidR="00000000">
        <w:trPr>
          <w:divId w:val="1325742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</w:p>
        </w:tc>
      </w:tr>
      <w:tr w:rsidR="00000000">
        <w:trPr>
          <w:divId w:val="1325742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107605354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</w:p>
        </w:tc>
      </w:tr>
      <w:tr w:rsidR="00000000">
        <w:trPr>
          <w:divId w:val="1325742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5742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4F1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</w:t>
            </w:r>
            <w:r>
              <w:rPr>
                <w:rFonts w:eastAsia="Times New Roman"/>
                <w:b/>
                <w:bCs/>
              </w:rPr>
              <w:t>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</w:t>
            </w:r>
            <w:r>
              <w:rPr>
                <w:rFonts w:eastAsia="Times New Roman"/>
              </w:rPr>
              <w:t>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E04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1030389X9719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E04F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04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4"/>
        <w:gridCol w:w="3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F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 Российская Федерация, Челябинская область, г. Пласт, территория</w:t>
            </w:r>
            <w:r>
              <w:rPr>
                <w:rFonts w:eastAsia="Times New Roman"/>
              </w:rPr>
              <w:br/>
              <w:t>Шахта Центральная</w:t>
            </w:r>
          </w:p>
        </w:tc>
      </w:tr>
    </w:tbl>
    <w:p w:rsidR="00000000" w:rsidRDefault="00E04F14">
      <w:pPr>
        <w:rPr>
          <w:rFonts w:eastAsia="Times New Roman"/>
        </w:rPr>
      </w:pPr>
    </w:p>
    <w:p w:rsidR="00000000" w:rsidRDefault="00E04F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4F14">
      <w:pPr>
        <w:rPr>
          <w:rFonts w:eastAsia="Times New Roman"/>
        </w:rPr>
      </w:pPr>
      <w:r>
        <w:rPr>
          <w:rFonts w:eastAsia="Times New Roman"/>
        </w:rPr>
        <w:t>1. О последующем одобрении совершенной Обществом крупной сделки, в совершении которой имеется заинтересованность.</w:t>
      </w:r>
      <w:r>
        <w:rPr>
          <w:rFonts w:eastAsia="Times New Roman"/>
        </w:rPr>
        <w:br/>
        <w:t>2. О последующем одобрении совершенной Обществом крупной сделки, в совершении которой имеется заинтересованность.</w:t>
      </w:r>
      <w:r>
        <w:rPr>
          <w:rFonts w:eastAsia="Times New Roman"/>
        </w:rPr>
        <w:br/>
        <w:t>3. О последующем одобрении с</w:t>
      </w:r>
      <w:r>
        <w:rPr>
          <w:rFonts w:eastAsia="Times New Roman"/>
        </w:rPr>
        <w:t xml:space="preserve">овершенной Обществом крупной сделки </w:t>
      </w:r>
      <w:r>
        <w:rPr>
          <w:rFonts w:eastAsia="Times New Roman"/>
        </w:rPr>
        <w:br/>
        <w:t xml:space="preserve">4. О последующем одобрении совершенной Обществом крупной сделки, в совершении которой имеется заинтересованность. </w:t>
      </w:r>
    </w:p>
    <w:p w:rsidR="00000000" w:rsidRDefault="00E04F1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>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>авления центральным депозитарием доступа к такой информации"</w:t>
      </w:r>
    </w:p>
    <w:p w:rsidR="00000000" w:rsidRDefault="00E04F14">
      <w:pPr>
        <w:pStyle w:val="a3"/>
      </w:pPr>
      <w:r>
        <w:t>4.2 Информация о созыве общего собрания акционеров эмитента</w:t>
      </w:r>
    </w:p>
    <w:p w:rsidR="00000000" w:rsidRDefault="00E04F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 manager (495) 956-27-90, (495) 956-27-91</w:t>
      </w:r>
    </w:p>
    <w:p w:rsidR="00000000" w:rsidRDefault="00E04F14">
      <w:pPr>
        <w:rPr>
          <w:rFonts w:eastAsia="Times New Roman"/>
        </w:rPr>
      </w:pPr>
      <w:r>
        <w:rPr>
          <w:rFonts w:eastAsia="Times New Roman"/>
        </w:rPr>
        <w:br/>
      </w:r>
    </w:p>
    <w:p w:rsidR="00E04F14" w:rsidRDefault="00E04F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</w:t>
      </w:r>
      <w:r>
        <w:t>но в электронном документе.</w:t>
      </w:r>
    </w:p>
    <w:sectPr w:rsidR="00E0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35EE"/>
    <w:rsid w:val="00BB35EE"/>
    <w:rsid w:val="00E0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AA4FD4-6FA3-4A70-9909-E2E30EBE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2025-04-28T04:25:00Z</dcterms:created>
  <dcterms:modified xsi:type="dcterms:W3CDTF">2025-04-28T04:25:00Z</dcterms:modified>
</cp:coreProperties>
</file>