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D66FF">
      <w:pPr>
        <w:pStyle w:val="a3"/>
        <w:divId w:val="1809275777"/>
      </w:pPr>
      <w:bookmarkStart w:id="0" w:name="_GoBack"/>
      <w:bookmarkEnd w:id="0"/>
      <w:r>
        <w:t>CS014 Информация из бюллетеня</w:t>
      </w:r>
    </w:p>
    <w:tbl>
      <w:tblPr>
        <w:tblW w:w="5000" w:type="pct"/>
        <w:tblCellSpacing w:w="7" w:type="dxa"/>
        <w:tblCellMar>
          <w:left w:w="0" w:type="dxa"/>
          <w:right w:w="0" w:type="dxa"/>
        </w:tblCellMar>
        <w:tblLook w:val="04A0" w:firstRow="1" w:lastRow="0" w:firstColumn="1" w:lastColumn="0" w:noHBand="0" w:noVBand="1"/>
      </w:tblPr>
      <w:tblGrid>
        <w:gridCol w:w="3218"/>
        <w:gridCol w:w="2857"/>
        <w:gridCol w:w="3280"/>
      </w:tblGrid>
      <w:tr w:rsidR="00000000">
        <w:trPr>
          <w:divId w:val="1809275777"/>
          <w:tblCellSpacing w:w="7" w:type="dxa"/>
        </w:trPr>
        <w:tc>
          <w:tcPr>
            <w:tcW w:w="0" w:type="auto"/>
            <w:vAlign w:val="center"/>
            <w:hideMark/>
          </w:tcPr>
          <w:p w:rsidR="00000000" w:rsidRDefault="004D66FF">
            <w:pPr>
              <w:rPr>
                <w:rFonts w:eastAsia="Times New Roman"/>
              </w:rPr>
            </w:pPr>
            <w:r>
              <w:rPr>
                <w:rFonts w:eastAsia="Times New Roman"/>
              </w:rPr>
              <w:t>Сообщение</w:t>
            </w:r>
          </w:p>
        </w:tc>
        <w:tc>
          <w:tcPr>
            <w:tcW w:w="0" w:type="auto"/>
            <w:vAlign w:val="center"/>
            <w:hideMark/>
          </w:tcPr>
          <w:p w:rsidR="00000000" w:rsidRDefault="004D66FF">
            <w:pPr>
              <w:rPr>
                <w:rFonts w:eastAsia="Times New Roman"/>
              </w:rPr>
            </w:pPr>
            <w:r>
              <w:rPr>
                <w:rFonts w:eastAsia="Times New Roman"/>
              </w:rPr>
              <w:t>№ 113934240</w:t>
            </w:r>
          </w:p>
        </w:tc>
        <w:tc>
          <w:tcPr>
            <w:tcW w:w="0" w:type="auto"/>
            <w:vAlign w:val="center"/>
            <w:hideMark/>
          </w:tcPr>
          <w:p w:rsidR="00000000" w:rsidRDefault="004D66FF">
            <w:pPr>
              <w:rPr>
                <w:rFonts w:eastAsia="Times New Roman"/>
              </w:rPr>
            </w:pPr>
          </w:p>
        </w:tc>
      </w:tr>
      <w:tr w:rsidR="00000000">
        <w:trPr>
          <w:divId w:val="1809275777"/>
          <w:tblCellSpacing w:w="7" w:type="dxa"/>
        </w:trPr>
        <w:tc>
          <w:tcPr>
            <w:tcW w:w="0" w:type="auto"/>
            <w:vAlign w:val="center"/>
            <w:hideMark/>
          </w:tcPr>
          <w:p w:rsidR="00000000" w:rsidRDefault="004D66FF">
            <w:pPr>
              <w:rPr>
                <w:rFonts w:eastAsia="Times New Roman"/>
              </w:rPr>
            </w:pPr>
            <w:r>
              <w:rPr>
                <w:rFonts w:eastAsia="Times New Roman"/>
              </w:rPr>
              <w:t>Функция сообщения:</w:t>
            </w:r>
          </w:p>
        </w:tc>
        <w:tc>
          <w:tcPr>
            <w:tcW w:w="0" w:type="auto"/>
            <w:vAlign w:val="center"/>
            <w:hideMark/>
          </w:tcPr>
          <w:p w:rsidR="00000000" w:rsidRDefault="004D66FF">
            <w:pPr>
              <w:rPr>
                <w:rFonts w:eastAsia="Times New Roman"/>
              </w:rPr>
            </w:pPr>
            <w:r>
              <w:rPr>
                <w:rFonts w:eastAsia="Times New Roman"/>
              </w:rPr>
              <w:t>Повторное сообщение</w:t>
            </w:r>
          </w:p>
        </w:tc>
        <w:tc>
          <w:tcPr>
            <w:tcW w:w="0" w:type="auto"/>
            <w:vAlign w:val="center"/>
            <w:hideMark/>
          </w:tcPr>
          <w:p w:rsidR="00000000" w:rsidRDefault="004D66FF">
            <w:pPr>
              <w:rPr>
                <w:rFonts w:eastAsia="Times New Roman"/>
              </w:rPr>
            </w:pPr>
          </w:p>
        </w:tc>
      </w:tr>
      <w:tr w:rsidR="00000000">
        <w:trPr>
          <w:divId w:val="1809275777"/>
          <w:tblCellSpacing w:w="7" w:type="dxa"/>
        </w:trPr>
        <w:tc>
          <w:tcPr>
            <w:tcW w:w="0" w:type="auto"/>
            <w:vAlign w:val="center"/>
            <w:hideMark/>
          </w:tcPr>
          <w:p w:rsidR="00000000" w:rsidRDefault="004D66FF">
            <w:pPr>
              <w:rPr>
                <w:rFonts w:eastAsia="Times New Roman"/>
              </w:rPr>
            </w:pPr>
            <w:r>
              <w:rPr>
                <w:rFonts w:eastAsia="Times New Roman"/>
              </w:rPr>
              <w:t>Предыдущее сообщение:</w:t>
            </w:r>
          </w:p>
        </w:tc>
        <w:tc>
          <w:tcPr>
            <w:tcW w:w="0" w:type="auto"/>
            <w:vAlign w:val="center"/>
            <w:hideMark/>
          </w:tcPr>
          <w:p w:rsidR="00000000" w:rsidRDefault="004D66FF">
            <w:pPr>
              <w:rPr>
                <w:rFonts w:eastAsia="Times New Roman"/>
              </w:rPr>
            </w:pPr>
            <w:r>
              <w:rPr>
                <w:rFonts w:eastAsia="Times New Roman"/>
              </w:rPr>
              <w:t>№ 113901434</w:t>
            </w:r>
          </w:p>
        </w:tc>
        <w:tc>
          <w:tcPr>
            <w:tcW w:w="0" w:type="auto"/>
            <w:vAlign w:val="center"/>
            <w:hideMark/>
          </w:tcPr>
          <w:p w:rsidR="00000000" w:rsidRDefault="004D66FF">
            <w:pPr>
              <w:rPr>
                <w:rFonts w:eastAsia="Times New Roman"/>
              </w:rPr>
            </w:pPr>
          </w:p>
        </w:tc>
      </w:tr>
      <w:tr w:rsidR="00000000">
        <w:trPr>
          <w:divId w:val="1809275777"/>
          <w:tblCellSpacing w:w="7" w:type="dxa"/>
        </w:trPr>
        <w:tc>
          <w:tcPr>
            <w:tcW w:w="0" w:type="auto"/>
            <w:vAlign w:val="center"/>
            <w:hideMark/>
          </w:tcPr>
          <w:p w:rsidR="00000000" w:rsidRDefault="004D66FF">
            <w:pPr>
              <w:rPr>
                <w:rFonts w:eastAsia="Times New Roman"/>
              </w:rPr>
            </w:pPr>
            <w:r>
              <w:rPr>
                <w:rFonts w:eastAsia="Times New Roman"/>
              </w:rPr>
              <w:t>Отправитель сообщения:</w:t>
            </w:r>
          </w:p>
        </w:tc>
        <w:tc>
          <w:tcPr>
            <w:tcW w:w="0" w:type="auto"/>
            <w:vAlign w:val="center"/>
            <w:hideMark/>
          </w:tcPr>
          <w:p w:rsidR="00000000" w:rsidRDefault="004D66FF">
            <w:pPr>
              <w:rPr>
                <w:rFonts w:eastAsia="Times New Roman"/>
              </w:rPr>
            </w:pPr>
            <w:r>
              <w:rPr>
                <w:rFonts w:eastAsia="Times New Roman"/>
              </w:rPr>
              <w:t>NDC000000000</w:t>
            </w:r>
          </w:p>
        </w:tc>
        <w:tc>
          <w:tcPr>
            <w:tcW w:w="0" w:type="auto"/>
            <w:vAlign w:val="center"/>
            <w:hideMark/>
          </w:tcPr>
          <w:p w:rsidR="00000000" w:rsidRDefault="004D66FF">
            <w:pPr>
              <w:rPr>
                <w:rFonts w:eastAsia="Times New Roman"/>
              </w:rPr>
            </w:pPr>
            <w:r>
              <w:rPr>
                <w:rFonts w:eastAsia="Times New Roman"/>
              </w:rPr>
              <w:t>НКО АО НРД</w:t>
            </w:r>
          </w:p>
        </w:tc>
      </w:tr>
      <w:tr w:rsidR="00000000">
        <w:trPr>
          <w:divId w:val="1809275777"/>
          <w:tblCellSpacing w:w="7" w:type="dxa"/>
        </w:trPr>
        <w:tc>
          <w:tcPr>
            <w:tcW w:w="0" w:type="auto"/>
            <w:vAlign w:val="center"/>
            <w:hideMark/>
          </w:tcPr>
          <w:p w:rsidR="00000000" w:rsidRDefault="004D66FF">
            <w:pPr>
              <w:rPr>
                <w:rFonts w:eastAsia="Times New Roman"/>
              </w:rPr>
            </w:pPr>
            <w:r>
              <w:rPr>
                <w:rFonts w:eastAsia="Times New Roman"/>
              </w:rPr>
              <w:t>Получатель сообщения:</w:t>
            </w:r>
          </w:p>
        </w:tc>
        <w:tc>
          <w:tcPr>
            <w:tcW w:w="0" w:type="auto"/>
            <w:vAlign w:val="center"/>
            <w:hideMark/>
          </w:tcPr>
          <w:p w:rsidR="00000000" w:rsidRDefault="004D66FF">
            <w:pPr>
              <w:rPr>
                <w:rFonts w:eastAsia="Times New Roman"/>
              </w:rPr>
            </w:pPr>
            <w:r>
              <w:rPr>
                <w:rFonts w:eastAsia="Times New Roman"/>
              </w:rPr>
              <w:t>MC0083900000</w:t>
            </w:r>
          </w:p>
        </w:tc>
        <w:tc>
          <w:tcPr>
            <w:tcW w:w="0" w:type="auto"/>
            <w:vAlign w:val="center"/>
            <w:hideMark/>
          </w:tcPr>
          <w:p w:rsidR="00000000" w:rsidRDefault="004D66FF">
            <w:pPr>
              <w:rPr>
                <w:rFonts w:eastAsia="Times New Roman"/>
              </w:rPr>
            </w:pPr>
            <w:r>
              <w:rPr>
                <w:rFonts w:eastAsia="Times New Roman"/>
              </w:rPr>
              <w:t>ООО ИК "ММК-Финанс"</w:t>
            </w:r>
          </w:p>
        </w:tc>
      </w:tr>
    </w:tbl>
    <w:p w:rsidR="00000000" w:rsidRDefault="004D66FF">
      <w:pPr>
        <w:pStyle w:val="1"/>
        <w:rPr>
          <w:rFonts w:eastAsia="Times New Roman"/>
        </w:rPr>
      </w:pPr>
      <w:r>
        <w:rPr>
          <w:rFonts w:eastAsia="Times New Roman"/>
        </w:rPr>
        <w:t>(XMET) О корпоративном действии "Внеочередное заседание общего собрания акционеров или заочное голосование для принятия решений общим собранием акционеров" с ценными бумагами эмитента ПАО "Полюс" ИНН 7703389295 (акции 1-01-55192-E / ISIN RU000A0JNAA8, 1-01</w:t>
      </w:r>
      <w:r>
        <w:rPr>
          <w:rFonts w:eastAsia="Times New Roman"/>
        </w:rPr>
        <w:t>-55192-E / ISIN RU000A0JNAA8)</w:t>
      </w:r>
    </w:p>
    <w:tbl>
      <w:tblPr>
        <w:tblW w:w="5000" w:type="pct"/>
        <w:tblCellSpacing w:w="7" w:type="dxa"/>
        <w:tblCellMar>
          <w:left w:w="0" w:type="dxa"/>
          <w:right w:w="0" w:type="dxa"/>
        </w:tblCellMar>
        <w:tblLook w:val="04A0" w:firstRow="1" w:lastRow="0" w:firstColumn="1" w:lastColumn="0" w:noHBand="0" w:noVBand="1"/>
      </w:tblPr>
      <w:tblGrid>
        <w:gridCol w:w="2950"/>
        <w:gridCol w:w="6405"/>
      </w:tblGrid>
      <w:tr w:rsidR="00000000">
        <w:trPr>
          <w:tblHeader/>
          <w:tblCellSpacing w:w="7" w:type="dxa"/>
        </w:trPr>
        <w:tc>
          <w:tcPr>
            <w:tcW w:w="0" w:type="auto"/>
            <w:gridSpan w:val="2"/>
            <w:shd w:val="clear" w:color="auto" w:fill="BBBBBB"/>
            <w:vAlign w:val="center"/>
            <w:hideMark/>
          </w:tcPr>
          <w:p w:rsidR="00000000" w:rsidRDefault="004D66FF">
            <w:pPr>
              <w:jc w:val="center"/>
              <w:rPr>
                <w:rFonts w:eastAsia="Times New Roman"/>
                <w:b/>
                <w:bCs/>
              </w:rPr>
            </w:pPr>
            <w:r>
              <w:rPr>
                <w:rFonts w:eastAsia="Times New Roman"/>
                <w:b/>
                <w:bCs/>
              </w:rPr>
              <w:t>Реквизиты корпоративного действия</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Референс корпоративного действия</w:t>
            </w:r>
          </w:p>
        </w:tc>
        <w:tc>
          <w:tcPr>
            <w:tcW w:w="0" w:type="auto"/>
            <w:shd w:val="clear" w:color="auto" w:fill="EEEEEE"/>
            <w:vAlign w:val="center"/>
            <w:hideMark/>
          </w:tcPr>
          <w:p w:rsidR="00000000" w:rsidRDefault="004D66FF">
            <w:pPr>
              <w:wordWrap w:val="0"/>
              <w:rPr>
                <w:rFonts w:eastAsia="Times New Roman"/>
              </w:rPr>
            </w:pPr>
            <w:r>
              <w:rPr>
                <w:rFonts w:eastAsia="Times New Roman"/>
              </w:rPr>
              <w:t>1075922</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Код типа корпоративного действия</w:t>
            </w:r>
          </w:p>
        </w:tc>
        <w:tc>
          <w:tcPr>
            <w:tcW w:w="0" w:type="auto"/>
            <w:shd w:val="clear" w:color="auto" w:fill="EEEEEE"/>
            <w:vAlign w:val="center"/>
            <w:hideMark/>
          </w:tcPr>
          <w:p w:rsidR="00000000" w:rsidRDefault="004D66FF">
            <w:pPr>
              <w:wordWrap w:val="0"/>
              <w:rPr>
                <w:rFonts w:eastAsia="Times New Roman"/>
              </w:rPr>
            </w:pPr>
            <w:r>
              <w:rPr>
                <w:rFonts w:eastAsia="Times New Roman"/>
              </w:rPr>
              <w:t>XMET</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Тип корпоративного действия</w:t>
            </w:r>
          </w:p>
        </w:tc>
        <w:tc>
          <w:tcPr>
            <w:tcW w:w="0" w:type="auto"/>
            <w:shd w:val="clear" w:color="auto" w:fill="EEEEEE"/>
            <w:vAlign w:val="center"/>
            <w:hideMark/>
          </w:tcPr>
          <w:p w:rsidR="00000000" w:rsidRDefault="004D66FF">
            <w:pPr>
              <w:wordWrap w:val="0"/>
              <w:rPr>
                <w:rFonts w:eastAsia="Times New Roman"/>
              </w:rPr>
            </w:pPr>
            <w:r>
              <w:rPr>
                <w:rFonts w:eastAsia="Times New Roman"/>
              </w:rPr>
              <w:t>Внеочередное заседание общего собрания акционеров или заочное голосование для при</w:t>
            </w:r>
            <w:r>
              <w:rPr>
                <w:rFonts w:eastAsia="Times New Roman"/>
              </w:rPr>
              <w:t>нятия решений общим собранием акционеров</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Дата КД (план.)</w:t>
            </w:r>
          </w:p>
        </w:tc>
        <w:tc>
          <w:tcPr>
            <w:tcW w:w="0" w:type="auto"/>
            <w:shd w:val="clear" w:color="auto" w:fill="EEEEEE"/>
            <w:vAlign w:val="center"/>
            <w:hideMark/>
          </w:tcPr>
          <w:p w:rsidR="00000000" w:rsidRDefault="004D66FF">
            <w:pPr>
              <w:rPr>
                <w:rFonts w:eastAsia="Times New Roman"/>
              </w:rPr>
            </w:pPr>
            <w:r>
              <w:rPr>
                <w:rFonts w:eastAsia="Times New Roman"/>
              </w:rPr>
              <w:t xml:space="preserve">30 сентября 2025 г. </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Дата фиксации</w:t>
            </w:r>
          </w:p>
        </w:tc>
        <w:tc>
          <w:tcPr>
            <w:tcW w:w="0" w:type="auto"/>
            <w:shd w:val="clear" w:color="auto" w:fill="EEEEEE"/>
            <w:vAlign w:val="center"/>
            <w:hideMark/>
          </w:tcPr>
          <w:p w:rsidR="00000000" w:rsidRDefault="004D66FF">
            <w:pPr>
              <w:rPr>
                <w:rFonts w:eastAsia="Times New Roman"/>
              </w:rPr>
            </w:pPr>
            <w:r>
              <w:rPr>
                <w:rFonts w:eastAsia="Times New Roman"/>
              </w:rPr>
              <w:t>07 сентября 2025 г.</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Способ принятия решений общим собранием</w:t>
            </w:r>
          </w:p>
        </w:tc>
        <w:tc>
          <w:tcPr>
            <w:tcW w:w="0" w:type="auto"/>
            <w:shd w:val="clear" w:color="auto" w:fill="EEEEEE"/>
            <w:vAlign w:val="center"/>
            <w:hideMark/>
          </w:tcPr>
          <w:p w:rsidR="00000000" w:rsidRDefault="004D66FF">
            <w:pPr>
              <w:wordWrap w:val="0"/>
              <w:rPr>
                <w:rFonts w:eastAsia="Times New Roman"/>
              </w:rPr>
            </w:pPr>
            <w:r>
              <w:rPr>
                <w:rFonts w:eastAsia="Times New Roman"/>
              </w:rPr>
              <w:t>Заочное голосование</w:t>
            </w:r>
          </w:p>
        </w:tc>
      </w:tr>
    </w:tbl>
    <w:p w:rsidR="00000000" w:rsidRDefault="004D66FF">
      <w:pPr>
        <w:rPr>
          <w:rFonts w:eastAsia="Times New Roman"/>
        </w:rPr>
      </w:pPr>
    </w:p>
    <w:tbl>
      <w:tblPr>
        <w:tblW w:w="5000" w:type="pct"/>
        <w:tblCellSpacing w:w="7" w:type="dxa"/>
        <w:tblCellMar>
          <w:left w:w="0" w:type="dxa"/>
          <w:right w:w="0" w:type="dxa"/>
        </w:tblCellMar>
        <w:tblLook w:val="04A0" w:firstRow="1" w:lastRow="0" w:firstColumn="1" w:lastColumn="0" w:noHBand="0" w:noVBand="1"/>
      </w:tblPr>
      <w:tblGrid>
        <w:gridCol w:w="1635"/>
        <w:gridCol w:w="1324"/>
        <w:gridCol w:w="1992"/>
        <w:gridCol w:w="1394"/>
        <w:gridCol w:w="1527"/>
        <w:gridCol w:w="1614"/>
        <w:gridCol w:w="1735"/>
        <w:gridCol w:w="1414"/>
        <w:gridCol w:w="27"/>
      </w:tblGrid>
      <w:tr w:rsidR="00000000">
        <w:trPr>
          <w:tblHeader/>
          <w:tblCellSpacing w:w="7" w:type="dxa"/>
        </w:trPr>
        <w:tc>
          <w:tcPr>
            <w:tcW w:w="0" w:type="auto"/>
            <w:gridSpan w:val="9"/>
            <w:shd w:val="clear" w:color="auto" w:fill="BBBBBB"/>
            <w:vAlign w:val="center"/>
            <w:hideMark/>
          </w:tcPr>
          <w:p w:rsidR="00000000" w:rsidRDefault="004D66FF">
            <w:pPr>
              <w:jc w:val="center"/>
              <w:rPr>
                <w:rFonts w:eastAsia="Times New Roman"/>
                <w:b/>
                <w:bCs/>
              </w:rPr>
            </w:pPr>
            <w:r>
              <w:rPr>
                <w:rFonts w:eastAsia="Times New Roman"/>
                <w:b/>
                <w:bCs/>
              </w:rPr>
              <w:t>Информация о ценных бумагах</w:t>
            </w:r>
          </w:p>
        </w:tc>
      </w:tr>
      <w:tr w:rsidR="00000000">
        <w:trPr>
          <w:tblHeader/>
          <w:tblCellSpacing w:w="7" w:type="dxa"/>
        </w:trPr>
        <w:tc>
          <w:tcPr>
            <w:tcW w:w="0" w:type="auto"/>
            <w:shd w:val="clear" w:color="auto" w:fill="BBBBBB"/>
            <w:vAlign w:val="center"/>
            <w:hideMark/>
          </w:tcPr>
          <w:p w:rsidR="00000000" w:rsidRDefault="004D66FF">
            <w:pPr>
              <w:jc w:val="center"/>
              <w:rPr>
                <w:rFonts w:eastAsia="Times New Roman"/>
                <w:b/>
                <w:bCs/>
              </w:rPr>
            </w:pPr>
            <w:r>
              <w:rPr>
                <w:rFonts w:eastAsia="Times New Roman"/>
                <w:b/>
                <w:bCs/>
              </w:rPr>
              <w:t>Референс КД по ценной бумаге</w:t>
            </w:r>
          </w:p>
        </w:tc>
        <w:tc>
          <w:tcPr>
            <w:tcW w:w="0" w:type="auto"/>
            <w:shd w:val="clear" w:color="auto" w:fill="BBBBBB"/>
            <w:vAlign w:val="center"/>
            <w:hideMark/>
          </w:tcPr>
          <w:p w:rsidR="00000000" w:rsidRDefault="004D66FF">
            <w:pPr>
              <w:jc w:val="center"/>
              <w:rPr>
                <w:rFonts w:eastAsia="Times New Roman"/>
                <w:b/>
                <w:bCs/>
              </w:rPr>
            </w:pPr>
            <w:r>
              <w:rPr>
                <w:rFonts w:eastAsia="Times New Roman"/>
                <w:b/>
                <w:bCs/>
              </w:rPr>
              <w:t>Эмитент</w:t>
            </w:r>
          </w:p>
        </w:tc>
        <w:tc>
          <w:tcPr>
            <w:tcW w:w="0" w:type="auto"/>
            <w:shd w:val="clear" w:color="auto" w:fill="BBBBBB"/>
            <w:vAlign w:val="center"/>
            <w:hideMark/>
          </w:tcPr>
          <w:p w:rsidR="00000000" w:rsidRDefault="004D66FF">
            <w:pPr>
              <w:jc w:val="center"/>
              <w:rPr>
                <w:rFonts w:eastAsia="Times New Roman"/>
                <w:b/>
                <w:bCs/>
              </w:rPr>
            </w:pPr>
            <w:r>
              <w:rPr>
                <w:rFonts w:eastAsia="Times New Roman"/>
                <w:b/>
                <w:bCs/>
              </w:rPr>
              <w:t>Регистрационный номер</w:t>
            </w:r>
          </w:p>
        </w:tc>
        <w:tc>
          <w:tcPr>
            <w:tcW w:w="0" w:type="auto"/>
            <w:shd w:val="clear" w:color="auto" w:fill="BBBBBB"/>
            <w:vAlign w:val="center"/>
            <w:hideMark/>
          </w:tcPr>
          <w:p w:rsidR="00000000" w:rsidRDefault="004D66FF">
            <w:pPr>
              <w:jc w:val="center"/>
              <w:rPr>
                <w:rFonts w:eastAsia="Times New Roman"/>
                <w:b/>
                <w:bCs/>
              </w:rPr>
            </w:pPr>
            <w:r>
              <w:rPr>
                <w:rFonts w:eastAsia="Times New Roman"/>
                <w:b/>
                <w:bCs/>
              </w:rPr>
              <w:t>Дата регистрации</w:t>
            </w:r>
          </w:p>
        </w:tc>
        <w:tc>
          <w:tcPr>
            <w:tcW w:w="0" w:type="auto"/>
            <w:shd w:val="clear" w:color="auto" w:fill="BBBBBB"/>
            <w:vAlign w:val="center"/>
            <w:hideMark/>
          </w:tcPr>
          <w:p w:rsidR="00000000" w:rsidRDefault="004D66FF">
            <w:pPr>
              <w:jc w:val="center"/>
              <w:rPr>
                <w:rFonts w:eastAsia="Times New Roman"/>
                <w:b/>
                <w:bCs/>
              </w:rPr>
            </w:pPr>
            <w:r>
              <w:rPr>
                <w:rFonts w:eastAsia="Times New Roman"/>
                <w:b/>
                <w:bCs/>
              </w:rPr>
              <w:t>Категория</w:t>
            </w:r>
          </w:p>
        </w:tc>
        <w:tc>
          <w:tcPr>
            <w:tcW w:w="0" w:type="auto"/>
            <w:shd w:val="clear" w:color="auto" w:fill="BBBBBB"/>
            <w:vAlign w:val="center"/>
            <w:hideMark/>
          </w:tcPr>
          <w:p w:rsidR="00000000" w:rsidRDefault="004D66FF">
            <w:pPr>
              <w:jc w:val="center"/>
              <w:rPr>
                <w:rFonts w:eastAsia="Times New Roman"/>
                <w:b/>
                <w:bCs/>
              </w:rPr>
            </w:pPr>
            <w:r>
              <w:rPr>
                <w:rFonts w:eastAsia="Times New Roman"/>
                <w:b/>
                <w:bCs/>
              </w:rPr>
              <w:t>Депозитарный код выпуска</w:t>
            </w:r>
          </w:p>
        </w:tc>
        <w:tc>
          <w:tcPr>
            <w:tcW w:w="0" w:type="auto"/>
            <w:shd w:val="clear" w:color="auto" w:fill="BBBBBB"/>
            <w:vAlign w:val="center"/>
            <w:hideMark/>
          </w:tcPr>
          <w:p w:rsidR="00000000" w:rsidRDefault="004D66FF">
            <w:pPr>
              <w:jc w:val="center"/>
              <w:rPr>
                <w:rFonts w:eastAsia="Times New Roman"/>
                <w:b/>
                <w:bCs/>
              </w:rPr>
            </w:pPr>
            <w:r>
              <w:rPr>
                <w:rFonts w:eastAsia="Times New Roman"/>
                <w:b/>
                <w:bCs/>
              </w:rPr>
              <w:t>ISIN</w:t>
            </w:r>
          </w:p>
        </w:tc>
        <w:tc>
          <w:tcPr>
            <w:tcW w:w="0" w:type="auto"/>
            <w:shd w:val="clear" w:color="auto" w:fill="BBBBBB"/>
            <w:vAlign w:val="center"/>
            <w:hideMark/>
          </w:tcPr>
          <w:p w:rsidR="00000000" w:rsidRDefault="004D66FF">
            <w:pPr>
              <w:jc w:val="center"/>
              <w:rPr>
                <w:rFonts w:eastAsia="Times New Roman"/>
                <w:b/>
                <w:bCs/>
              </w:rPr>
            </w:pPr>
            <w:r>
              <w:rPr>
                <w:rFonts w:eastAsia="Times New Roman"/>
                <w:b/>
                <w:bCs/>
              </w:rPr>
              <w:t>Знаменатель для дробного выпуска</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1075922X84129</w:t>
            </w:r>
          </w:p>
        </w:tc>
        <w:tc>
          <w:tcPr>
            <w:tcW w:w="0" w:type="auto"/>
            <w:shd w:val="clear" w:color="auto" w:fill="EEEEEE"/>
            <w:vAlign w:val="center"/>
            <w:hideMark/>
          </w:tcPr>
          <w:p w:rsidR="00000000" w:rsidRDefault="004D66FF">
            <w:pPr>
              <w:rPr>
                <w:rFonts w:eastAsia="Times New Roman"/>
              </w:rPr>
            </w:pPr>
            <w:r>
              <w:rPr>
                <w:rFonts w:eastAsia="Times New Roman"/>
              </w:rPr>
              <w:t>Публичное акционерное общество "Полюс"</w:t>
            </w:r>
          </w:p>
        </w:tc>
        <w:tc>
          <w:tcPr>
            <w:tcW w:w="0" w:type="auto"/>
            <w:shd w:val="clear" w:color="auto" w:fill="EEEEEE"/>
            <w:vAlign w:val="center"/>
            <w:hideMark/>
          </w:tcPr>
          <w:p w:rsidR="00000000" w:rsidRDefault="004D66FF">
            <w:pPr>
              <w:rPr>
                <w:rFonts w:eastAsia="Times New Roman"/>
              </w:rPr>
            </w:pPr>
            <w:r>
              <w:rPr>
                <w:rFonts w:eastAsia="Times New Roman"/>
              </w:rPr>
              <w:t>1-01-55192-E</w:t>
            </w:r>
          </w:p>
        </w:tc>
        <w:tc>
          <w:tcPr>
            <w:tcW w:w="0" w:type="auto"/>
            <w:shd w:val="clear" w:color="auto" w:fill="EEEEEE"/>
            <w:vAlign w:val="center"/>
            <w:hideMark/>
          </w:tcPr>
          <w:p w:rsidR="00000000" w:rsidRDefault="004D66FF">
            <w:pPr>
              <w:rPr>
                <w:rFonts w:eastAsia="Times New Roman"/>
              </w:rPr>
            </w:pPr>
            <w:r>
              <w:rPr>
                <w:rFonts w:eastAsia="Times New Roman"/>
              </w:rPr>
              <w:t>27 апреля 2006 г.</w:t>
            </w:r>
          </w:p>
        </w:tc>
        <w:tc>
          <w:tcPr>
            <w:tcW w:w="0" w:type="auto"/>
            <w:shd w:val="clear" w:color="auto" w:fill="EEEEEE"/>
            <w:vAlign w:val="center"/>
            <w:hideMark/>
          </w:tcPr>
          <w:p w:rsidR="00000000" w:rsidRDefault="004D66FF">
            <w:pPr>
              <w:rPr>
                <w:rFonts w:eastAsia="Times New Roman"/>
              </w:rPr>
            </w:pPr>
            <w:r>
              <w:rPr>
                <w:rFonts w:eastAsia="Times New Roman"/>
              </w:rPr>
              <w:t xml:space="preserve">акции обыкновенные </w:t>
            </w:r>
          </w:p>
        </w:tc>
        <w:tc>
          <w:tcPr>
            <w:tcW w:w="0" w:type="auto"/>
            <w:shd w:val="clear" w:color="auto" w:fill="EEEEEE"/>
            <w:vAlign w:val="center"/>
            <w:hideMark/>
          </w:tcPr>
          <w:p w:rsidR="00000000" w:rsidRDefault="004D66FF">
            <w:pPr>
              <w:rPr>
                <w:rFonts w:eastAsia="Times New Roman"/>
              </w:rPr>
            </w:pPr>
            <w:r>
              <w:rPr>
                <w:rFonts w:eastAsia="Times New Roman"/>
              </w:rPr>
              <w:t>POZO/01</w:t>
            </w:r>
          </w:p>
        </w:tc>
        <w:tc>
          <w:tcPr>
            <w:tcW w:w="0" w:type="auto"/>
            <w:shd w:val="clear" w:color="auto" w:fill="EEEEEE"/>
            <w:vAlign w:val="center"/>
            <w:hideMark/>
          </w:tcPr>
          <w:p w:rsidR="00000000" w:rsidRDefault="004D66FF">
            <w:pPr>
              <w:rPr>
                <w:rFonts w:eastAsia="Times New Roman"/>
              </w:rPr>
            </w:pPr>
            <w:r>
              <w:rPr>
                <w:rFonts w:eastAsia="Times New Roman"/>
              </w:rPr>
              <w:t>RU000A0JNAA8</w:t>
            </w:r>
          </w:p>
        </w:tc>
        <w:tc>
          <w:tcPr>
            <w:tcW w:w="0" w:type="auto"/>
            <w:shd w:val="clear" w:color="auto" w:fill="EEEEEE"/>
            <w:vAlign w:val="center"/>
            <w:hideMark/>
          </w:tcPr>
          <w:p w:rsidR="00000000" w:rsidRDefault="004D66FF">
            <w:pPr>
              <w:rPr>
                <w:rFonts w:eastAsia="Times New Roman"/>
              </w:rPr>
            </w:pP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1075922X84130</w:t>
            </w:r>
          </w:p>
        </w:tc>
        <w:tc>
          <w:tcPr>
            <w:tcW w:w="0" w:type="auto"/>
            <w:shd w:val="clear" w:color="auto" w:fill="EEEEEE"/>
            <w:vAlign w:val="center"/>
            <w:hideMark/>
          </w:tcPr>
          <w:p w:rsidR="00000000" w:rsidRDefault="004D66FF">
            <w:pPr>
              <w:rPr>
                <w:rFonts w:eastAsia="Times New Roman"/>
              </w:rPr>
            </w:pPr>
            <w:r>
              <w:rPr>
                <w:rFonts w:eastAsia="Times New Roman"/>
              </w:rPr>
              <w:t xml:space="preserve">Публичное акционерное </w:t>
            </w:r>
            <w:r>
              <w:rPr>
                <w:rFonts w:eastAsia="Times New Roman"/>
              </w:rPr>
              <w:lastRenderedPageBreak/>
              <w:t>общество "Полюс"</w:t>
            </w:r>
          </w:p>
        </w:tc>
        <w:tc>
          <w:tcPr>
            <w:tcW w:w="0" w:type="auto"/>
            <w:shd w:val="clear" w:color="auto" w:fill="EEEEEE"/>
            <w:vAlign w:val="center"/>
            <w:hideMark/>
          </w:tcPr>
          <w:p w:rsidR="00000000" w:rsidRDefault="004D66FF">
            <w:pPr>
              <w:rPr>
                <w:rFonts w:eastAsia="Times New Roman"/>
              </w:rPr>
            </w:pPr>
            <w:r>
              <w:rPr>
                <w:rFonts w:eastAsia="Times New Roman"/>
              </w:rPr>
              <w:lastRenderedPageBreak/>
              <w:t>1-01-55192-E</w:t>
            </w:r>
          </w:p>
        </w:tc>
        <w:tc>
          <w:tcPr>
            <w:tcW w:w="0" w:type="auto"/>
            <w:shd w:val="clear" w:color="auto" w:fill="EEEEEE"/>
            <w:vAlign w:val="center"/>
            <w:hideMark/>
          </w:tcPr>
          <w:p w:rsidR="00000000" w:rsidRDefault="004D66FF">
            <w:pPr>
              <w:rPr>
                <w:rFonts w:eastAsia="Times New Roman"/>
              </w:rPr>
            </w:pPr>
            <w:r>
              <w:rPr>
                <w:rFonts w:eastAsia="Times New Roman"/>
              </w:rPr>
              <w:t>27 апреля 2006 г.</w:t>
            </w:r>
          </w:p>
        </w:tc>
        <w:tc>
          <w:tcPr>
            <w:tcW w:w="0" w:type="auto"/>
            <w:shd w:val="clear" w:color="auto" w:fill="EEEEEE"/>
            <w:vAlign w:val="center"/>
            <w:hideMark/>
          </w:tcPr>
          <w:p w:rsidR="00000000" w:rsidRDefault="004D66FF">
            <w:pPr>
              <w:rPr>
                <w:rFonts w:eastAsia="Times New Roman"/>
              </w:rPr>
            </w:pPr>
            <w:r>
              <w:rPr>
                <w:rFonts w:eastAsia="Times New Roman"/>
              </w:rPr>
              <w:t xml:space="preserve">акции обыкновенные </w:t>
            </w:r>
          </w:p>
        </w:tc>
        <w:tc>
          <w:tcPr>
            <w:tcW w:w="0" w:type="auto"/>
            <w:shd w:val="clear" w:color="auto" w:fill="EEEEEE"/>
            <w:vAlign w:val="center"/>
            <w:hideMark/>
          </w:tcPr>
          <w:p w:rsidR="00000000" w:rsidRDefault="004D66FF">
            <w:pPr>
              <w:rPr>
                <w:rFonts w:eastAsia="Times New Roman"/>
              </w:rPr>
            </w:pPr>
            <w:r>
              <w:rPr>
                <w:rFonts w:eastAsia="Times New Roman"/>
              </w:rPr>
              <w:t>POZO/DR1</w:t>
            </w:r>
          </w:p>
        </w:tc>
        <w:tc>
          <w:tcPr>
            <w:tcW w:w="0" w:type="auto"/>
            <w:shd w:val="clear" w:color="auto" w:fill="EEEEEE"/>
            <w:vAlign w:val="center"/>
            <w:hideMark/>
          </w:tcPr>
          <w:p w:rsidR="00000000" w:rsidRDefault="004D66FF">
            <w:pPr>
              <w:rPr>
                <w:rFonts w:eastAsia="Times New Roman"/>
              </w:rPr>
            </w:pPr>
            <w:r>
              <w:rPr>
                <w:rFonts w:eastAsia="Times New Roman"/>
              </w:rPr>
              <w:t>RU000A0JNAA8</w:t>
            </w:r>
          </w:p>
        </w:tc>
        <w:tc>
          <w:tcPr>
            <w:tcW w:w="0" w:type="auto"/>
            <w:shd w:val="clear" w:color="auto" w:fill="EEEEEE"/>
            <w:vAlign w:val="center"/>
            <w:hideMark/>
          </w:tcPr>
          <w:p w:rsidR="00000000" w:rsidRDefault="004D66FF">
            <w:pPr>
              <w:rPr>
                <w:rFonts w:eastAsia="Times New Roman"/>
              </w:rPr>
            </w:pPr>
            <w:r>
              <w:rPr>
                <w:rFonts w:eastAsia="Times New Roman"/>
              </w:rPr>
              <w:t>133561119</w:t>
            </w:r>
          </w:p>
        </w:tc>
        <w:tc>
          <w:tcPr>
            <w:tcW w:w="0" w:type="auto"/>
            <w:vAlign w:val="center"/>
            <w:hideMark/>
          </w:tcPr>
          <w:p w:rsidR="00000000" w:rsidRDefault="004D66FF">
            <w:pPr>
              <w:rPr>
                <w:rFonts w:eastAsia="Times New Roman"/>
                <w:sz w:val="20"/>
                <w:szCs w:val="20"/>
              </w:rPr>
            </w:pPr>
          </w:p>
        </w:tc>
      </w:tr>
    </w:tbl>
    <w:p w:rsidR="00000000" w:rsidRDefault="004D66FF">
      <w:pPr>
        <w:rPr>
          <w:rFonts w:eastAsia="Times New Roman"/>
        </w:rPr>
      </w:pPr>
    </w:p>
    <w:tbl>
      <w:tblPr>
        <w:tblW w:w="5000" w:type="pct"/>
        <w:tblCellSpacing w:w="7" w:type="dxa"/>
        <w:tblCellMar>
          <w:left w:w="0" w:type="dxa"/>
          <w:right w:w="0" w:type="dxa"/>
        </w:tblCellMar>
        <w:tblLook w:val="04A0" w:firstRow="1" w:lastRow="0" w:firstColumn="1" w:lastColumn="0" w:noHBand="0" w:noVBand="1"/>
      </w:tblPr>
      <w:tblGrid>
        <w:gridCol w:w="4631"/>
        <w:gridCol w:w="4689"/>
        <w:gridCol w:w="35"/>
      </w:tblGrid>
      <w:tr w:rsidR="00000000">
        <w:trPr>
          <w:gridAfter w:val="1"/>
          <w:tblHeader/>
          <w:tblCellSpacing w:w="7" w:type="dxa"/>
        </w:trPr>
        <w:tc>
          <w:tcPr>
            <w:tcW w:w="0" w:type="auto"/>
            <w:gridSpan w:val="2"/>
            <w:shd w:val="clear" w:color="auto" w:fill="BBBBBB"/>
            <w:vAlign w:val="center"/>
            <w:hideMark/>
          </w:tcPr>
          <w:p w:rsidR="00000000" w:rsidRDefault="004D66FF">
            <w:pPr>
              <w:jc w:val="center"/>
              <w:rPr>
                <w:rFonts w:eastAsia="Times New Roman"/>
                <w:b/>
                <w:bCs/>
              </w:rPr>
            </w:pPr>
            <w:r>
              <w:rPr>
                <w:rFonts w:eastAsia="Times New Roman"/>
                <w:b/>
                <w:bCs/>
              </w:rPr>
              <w:t>Связанные корпоративные действия</w:t>
            </w:r>
          </w:p>
        </w:tc>
      </w:tr>
      <w:tr w:rsidR="00000000">
        <w:trPr>
          <w:gridAfter w:val="1"/>
          <w:tblHeader/>
          <w:tblCellSpacing w:w="7" w:type="dxa"/>
        </w:trPr>
        <w:tc>
          <w:tcPr>
            <w:tcW w:w="0" w:type="auto"/>
            <w:shd w:val="clear" w:color="auto" w:fill="BBBBBB"/>
            <w:vAlign w:val="center"/>
            <w:hideMark/>
          </w:tcPr>
          <w:p w:rsidR="00000000" w:rsidRDefault="004D66FF">
            <w:pPr>
              <w:jc w:val="center"/>
              <w:rPr>
                <w:rFonts w:eastAsia="Times New Roman"/>
                <w:b/>
                <w:bCs/>
              </w:rPr>
            </w:pPr>
            <w:r>
              <w:rPr>
                <w:rFonts w:eastAsia="Times New Roman"/>
                <w:b/>
                <w:bCs/>
              </w:rPr>
              <w:t>Код типа КД</w:t>
            </w:r>
          </w:p>
        </w:tc>
        <w:tc>
          <w:tcPr>
            <w:tcW w:w="0" w:type="auto"/>
            <w:shd w:val="clear" w:color="auto" w:fill="BBBBBB"/>
            <w:vAlign w:val="center"/>
            <w:hideMark/>
          </w:tcPr>
          <w:p w:rsidR="00000000" w:rsidRDefault="004D66FF">
            <w:pPr>
              <w:jc w:val="center"/>
              <w:rPr>
                <w:rFonts w:eastAsia="Times New Roman"/>
                <w:b/>
                <w:bCs/>
              </w:rPr>
            </w:pPr>
            <w:r>
              <w:rPr>
                <w:rFonts w:eastAsia="Times New Roman"/>
                <w:b/>
                <w:bCs/>
              </w:rPr>
              <w:t>Референс КД</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DVCA</w:t>
            </w:r>
          </w:p>
        </w:tc>
        <w:tc>
          <w:tcPr>
            <w:tcW w:w="0" w:type="auto"/>
            <w:shd w:val="clear" w:color="auto" w:fill="EEEEEE"/>
            <w:vAlign w:val="center"/>
            <w:hideMark/>
          </w:tcPr>
          <w:p w:rsidR="00000000" w:rsidRDefault="004D66FF">
            <w:pPr>
              <w:rPr>
                <w:rFonts w:eastAsia="Times New Roman"/>
              </w:rPr>
            </w:pPr>
            <w:r>
              <w:rPr>
                <w:rFonts w:eastAsia="Times New Roman"/>
              </w:rPr>
              <w:t>1075921</w:t>
            </w:r>
          </w:p>
        </w:tc>
        <w:tc>
          <w:tcPr>
            <w:tcW w:w="0" w:type="auto"/>
            <w:shd w:val="clear" w:color="auto" w:fill="EEEEEE"/>
            <w:vAlign w:val="center"/>
            <w:hideMark/>
          </w:tcPr>
          <w:p w:rsidR="00000000" w:rsidRDefault="004D66FF">
            <w:pPr>
              <w:rPr>
                <w:rFonts w:eastAsia="Times New Roman"/>
              </w:rPr>
            </w:pPr>
          </w:p>
        </w:tc>
      </w:tr>
    </w:tbl>
    <w:p w:rsidR="00000000" w:rsidRDefault="004D66FF">
      <w:pPr>
        <w:rPr>
          <w:rFonts w:eastAsia="Times New Roman"/>
        </w:rPr>
      </w:pPr>
    </w:p>
    <w:tbl>
      <w:tblPr>
        <w:tblW w:w="5000" w:type="pct"/>
        <w:tblCellSpacing w:w="7" w:type="dxa"/>
        <w:tblCellMar>
          <w:left w:w="0" w:type="dxa"/>
          <w:right w:w="0" w:type="dxa"/>
        </w:tblCellMar>
        <w:tblLook w:val="04A0" w:firstRow="1" w:lastRow="0" w:firstColumn="1" w:lastColumn="0" w:noHBand="0" w:noVBand="1"/>
      </w:tblPr>
      <w:tblGrid>
        <w:gridCol w:w="6743"/>
        <w:gridCol w:w="2612"/>
      </w:tblGrid>
      <w:tr w:rsidR="00000000">
        <w:trPr>
          <w:tblHeader/>
          <w:tblCellSpacing w:w="7" w:type="dxa"/>
        </w:trPr>
        <w:tc>
          <w:tcPr>
            <w:tcW w:w="0" w:type="auto"/>
            <w:gridSpan w:val="2"/>
            <w:shd w:val="clear" w:color="auto" w:fill="BBBBBB"/>
            <w:vAlign w:val="center"/>
            <w:hideMark/>
          </w:tcPr>
          <w:p w:rsidR="00000000" w:rsidRDefault="004D66FF">
            <w:pPr>
              <w:jc w:val="center"/>
              <w:rPr>
                <w:rFonts w:eastAsia="Times New Roman"/>
                <w:b/>
                <w:bCs/>
              </w:rPr>
            </w:pPr>
            <w:r>
              <w:rPr>
                <w:rFonts w:eastAsia="Times New Roman"/>
                <w:b/>
                <w:bCs/>
              </w:rPr>
              <w:t>Голосование</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Дата и время окончания приема инструкций для участия в заседании или заочном голосовании, установленные НКО АО НРД</w:t>
            </w:r>
          </w:p>
        </w:tc>
        <w:tc>
          <w:tcPr>
            <w:tcW w:w="0" w:type="auto"/>
            <w:shd w:val="clear" w:color="auto" w:fill="EEEEEE"/>
            <w:vAlign w:val="center"/>
            <w:hideMark/>
          </w:tcPr>
          <w:p w:rsidR="00000000" w:rsidRDefault="004D66FF">
            <w:pPr>
              <w:rPr>
                <w:rFonts w:eastAsia="Times New Roman"/>
              </w:rPr>
            </w:pPr>
            <w:r>
              <w:rPr>
                <w:rFonts w:eastAsia="Times New Roman"/>
              </w:rPr>
              <w:t>30 сентября 2025 г. 19:59 МСК</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 xml:space="preserve">Дата и время окончания приема бюллетеней для голосования/инструкций для участия в </w:t>
            </w:r>
            <w:r>
              <w:rPr>
                <w:rFonts w:eastAsia="Times New Roman"/>
              </w:rPr>
              <w:t>заседании или заочном голосовании, установленные эмитентом</w:t>
            </w:r>
          </w:p>
        </w:tc>
        <w:tc>
          <w:tcPr>
            <w:tcW w:w="0" w:type="auto"/>
            <w:shd w:val="clear" w:color="auto" w:fill="EEEEEE"/>
            <w:vAlign w:val="center"/>
            <w:hideMark/>
          </w:tcPr>
          <w:p w:rsidR="00000000" w:rsidRDefault="004D66FF">
            <w:pPr>
              <w:rPr>
                <w:rFonts w:eastAsia="Times New Roman"/>
              </w:rPr>
            </w:pPr>
            <w:r>
              <w:rPr>
                <w:rFonts w:eastAsia="Times New Roman"/>
              </w:rPr>
              <w:t xml:space="preserve">30 сентября 2025 г. </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Код варианта голосования</w:t>
            </w:r>
          </w:p>
        </w:tc>
        <w:tc>
          <w:tcPr>
            <w:tcW w:w="0" w:type="auto"/>
            <w:shd w:val="clear" w:color="auto" w:fill="EEEEEE"/>
            <w:vAlign w:val="center"/>
            <w:hideMark/>
          </w:tcPr>
          <w:p w:rsidR="00000000" w:rsidRDefault="004D66FF">
            <w:pPr>
              <w:rPr>
                <w:rFonts w:eastAsia="Times New Roman"/>
              </w:rPr>
            </w:pPr>
            <w:r>
              <w:rPr>
                <w:rFonts w:eastAsia="Times New Roman"/>
              </w:rPr>
              <w:t>CFOR За</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Код варианта голосования</w:t>
            </w:r>
          </w:p>
        </w:tc>
        <w:tc>
          <w:tcPr>
            <w:tcW w:w="0" w:type="auto"/>
            <w:shd w:val="clear" w:color="auto" w:fill="EEEEEE"/>
            <w:vAlign w:val="center"/>
            <w:hideMark/>
          </w:tcPr>
          <w:p w:rsidR="00000000" w:rsidRDefault="004D66FF">
            <w:pPr>
              <w:rPr>
                <w:rFonts w:eastAsia="Times New Roman"/>
              </w:rPr>
            </w:pPr>
            <w:r>
              <w:rPr>
                <w:rFonts w:eastAsia="Times New Roman"/>
              </w:rPr>
              <w:t>CAGS Против</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Код варианта голосования</w:t>
            </w:r>
          </w:p>
        </w:tc>
        <w:tc>
          <w:tcPr>
            <w:tcW w:w="0" w:type="auto"/>
            <w:shd w:val="clear" w:color="auto" w:fill="EEEEEE"/>
            <w:vAlign w:val="center"/>
            <w:hideMark/>
          </w:tcPr>
          <w:p w:rsidR="00000000" w:rsidRDefault="004D66FF">
            <w:pPr>
              <w:rPr>
                <w:rFonts w:eastAsia="Times New Roman"/>
              </w:rPr>
            </w:pPr>
            <w:r>
              <w:rPr>
                <w:rFonts w:eastAsia="Times New Roman"/>
              </w:rPr>
              <w:t>ABST Воздержаться</w:t>
            </w:r>
          </w:p>
        </w:tc>
      </w:tr>
      <w:tr w:rsidR="00000000">
        <w:trPr>
          <w:tblCellSpacing w:w="7" w:type="dxa"/>
        </w:trPr>
        <w:tc>
          <w:tcPr>
            <w:tcW w:w="0" w:type="auto"/>
            <w:gridSpan w:val="2"/>
            <w:shd w:val="clear" w:color="auto" w:fill="BBBBBB"/>
            <w:vAlign w:val="center"/>
            <w:hideMark/>
          </w:tcPr>
          <w:p w:rsidR="00000000" w:rsidRDefault="004D66FF">
            <w:pPr>
              <w:jc w:val="center"/>
              <w:rPr>
                <w:rFonts w:eastAsia="Times New Roman"/>
              </w:rPr>
            </w:pPr>
            <w:r>
              <w:rPr>
                <w:rFonts w:eastAsia="Times New Roman"/>
              </w:rPr>
              <w:t>Методы голосования</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Адрес НКО АО НРД для направления инстр</w:t>
            </w:r>
            <w:r>
              <w:rPr>
                <w:rFonts w:eastAsia="Times New Roman"/>
              </w:rPr>
              <w:t xml:space="preserve">укций для участия в заседании или заочном голосовании </w:t>
            </w:r>
          </w:p>
        </w:tc>
        <w:tc>
          <w:tcPr>
            <w:tcW w:w="0" w:type="auto"/>
            <w:shd w:val="clear" w:color="auto" w:fill="EEEEEE"/>
            <w:vAlign w:val="center"/>
            <w:hideMark/>
          </w:tcPr>
          <w:p w:rsidR="00000000" w:rsidRDefault="004D66FF">
            <w:pPr>
              <w:rPr>
                <w:rFonts w:eastAsia="Times New Roman"/>
              </w:rPr>
            </w:pPr>
            <w:r>
              <w:rPr>
                <w:rFonts w:eastAsia="Times New Roman"/>
              </w:rPr>
              <w:t>NDC000000000</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 xml:space="preserve">Адрес SWIFT НКО АО НРД для направления инструкций для участия в заседании или заочном голосовании </w:t>
            </w:r>
          </w:p>
        </w:tc>
        <w:tc>
          <w:tcPr>
            <w:tcW w:w="0" w:type="auto"/>
            <w:shd w:val="clear" w:color="auto" w:fill="EEEEEE"/>
            <w:vAlign w:val="center"/>
            <w:hideMark/>
          </w:tcPr>
          <w:p w:rsidR="00000000" w:rsidRDefault="004D66FF">
            <w:pPr>
              <w:rPr>
                <w:rFonts w:eastAsia="Times New Roman"/>
              </w:rPr>
            </w:pPr>
            <w:r>
              <w:rPr>
                <w:rFonts w:eastAsia="Times New Roman"/>
              </w:rPr>
              <w:t>NADCRUMM</w:t>
            </w: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Адрес сайта в сети "Интернет", на котором может быть заполнена электронная фор</w:t>
            </w:r>
            <w:r>
              <w:rPr>
                <w:rFonts w:eastAsia="Times New Roman"/>
              </w:rPr>
              <w:t xml:space="preserve">ма бюллетеней </w:t>
            </w:r>
          </w:p>
        </w:tc>
        <w:tc>
          <w:tcPr>
            <w:tcW w:w="0" w:type="auto"/>
            <w:shd w:val="clear" w:color="auto" w:fill="EEEEEE"/>
            <w:vAlign w:val="center"/>
            <w:hideMark/>
          </w:tcPr>
          <w:p w:rsidR="00000000" w:rsidRDefault="004D66FF">
            <w:pPr>
              <w:rPr>
                <w:rFonts w:eastAsia="Times New Roman"/>
              </w:rPr>
            </w:pPr>
            <w:r>
              <w:rPr>
                <w:rFonts w:eastAsia="Times New Roman"/>
              </w:rPr>
              <w:t>https://lk.rrost.ru/polyus</w:t>
            </w:r>
          </w:p>
        </w:tc>
      </w:tr>
    </w:tbl>
    <w:p w:rsidR="00000000" w:rsidRDefault="004D66FF">
      <w:pPr>
        <w:rPr>
          <w:rFonts w:eastAsia="Times New Roman"/>
        </w:rPr>
      </w:pPr>
    </w:p>
    <w:tbl>
      <w:tblPr>
        <w:tblW w:w="5000" w:type="pct"/>
        <w:tblCellSpacing w:w="7" w:type="dxa"/>
        <w:tblCellMar>
          <w:left w:w="0" w:type="dxa"/>
          <w:right w:w="0" w:type="dxa"/>
        </w:tblCellMar>
        <w:tblLook w:val="04A0" w:firstRow="1" w:lastRow="0" w:firstColumn="1" w:lastColumn="0" w:noHBand="0" w:noVBand="1"/>
      </w:tblPr>
      <w:tblGrid>
        <w:gridCol w:w="1912"/>
        <w:gridCol w:w="7416"/>
        <w:gridCol w:w="27"/>
      </w:tblGrid>
      <w:tr w:rsidR="00000000">
        <w:trPr>
          <w:tblHeader/>
          <w:tblCellSpacing w:w="7" w:type="dxa"/>
        </w:trPr>
        <w:tc>
          <w:tcPr>
            <w:tcW w:w="0" w:type="auto"/>
            <w:gridSpan w:val="3"/>
            <w:shd w:val="clear" w:color="auto" w:fill="BBBBBB"/>
            <w:vAlign w:val="center"/>
            <w:hideMark/>
          </w:tcPr>
          <w:p w:rsidR="00000000" w:rsidRDefault="004D66FF">
            <w:pPr>
              <w:jc w:val="center"/>
              <w:rPr>
                <w:rFonts w:eastAsia="Times New Roman"/>
                <w:b/>
                <w:bCs/>
              </w:rPr>
            </w:pPr>
            <w:r>
              <w:rPr>
                <w:rFonts w:eastAsia="Times New Roman"/>
                <w:b/>
                <w:bCs/>
              </w:rPr>
              <w:t>Бюллетень</w:t>
            </w:r>
          </w:p>
        </w:tc>
      </w:tr>
      <w:tr w:rsidR="00000000">
        <w:trPr>
          <w:trHeight w:val="150"/>
          <w:tblCellSpacing w:w="7" w:type="dxa"/>
        </w:trPr>
        <w:tc>
          <w:tcPr>
            <w:tcW w:w="0" w:type="auto"/>
            <w:vAlign w:val="center"/>
            <w:hideMark/>
          </w:tcPr>
          <w:p w:rsidR="00000000" w:rsidRDefault="004D66FF">
            <w:pPr>
              <w:jc w:val="center"/>
              <w:rPr>
                <w:rFonts w:eastAsia="Times New Roman"/>
                <w:b/>
                <w:bCs/>
              </w:rPr>
            </w:pPr>
          </w:p>
        </w:tc>
        <w:tc>
          <w:tcPr>
            <w:tcW w:w="0" w:type="auto"/>
            <w:vAlign w:val="center"/>
            <w:hideMark/>
          </w:tcPr>
          <w:p w:rsidR="00000000" w:rsidRDefault="004D66FF">
            <w:pPr>
              <w:rPr>
                <w:rFonts w:eastAsia="Times New Roman"/>
                <w:sz w:val="20"/>
                <w:szCs w:val="20"/>
              </w:rPr>
            </w:pP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Вопрос повестки дня</w:t>
            </w:r>
          </w:p>
        </w:tc>
        <w:tc>
          <w:tcPr>
            <w:tcW w:w="0" w:type="auto"/>
            <w:shd w:val="clear" w:color="auto" w:fill="EEEEEE"/>
            <w:vAlign w:val="center"/>
            <w:hideMark/>
          </w:tcPr>
          <w:p w:rsidR="00000000" w:rsidRDefault="004D66FF">
            <w:pPr>
              <w:rPr>
                <w:rFonts w:eastAsia="Times New Roman"/>
              </w:rPr>
            </w:pPr>
            <w:r>
              <w:rPr>
                <w:rFonts w:eastAsia="Times New Roman"/>
              </w:rPr>
              <w:t>О выплате (объявлении) дивидендов по результатам 6 месяцев 2025 года.</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gridSpan w:val="2"/>
            <w:shd w:val="clear" w:color="auto" w:fill="BBBBBB"/>
            <w:vAlign w:val="center"/>
            <w:hideMark/>
          </w:tcPr>
          <w:p w:rsidR="00000000" w:rsidRDefault="004D66FF">
            <w:pPr>
              <w:jc w:val="center"/>
              <w:rPr>
                <w:rFonts w:eastAsia="Times New Roman"/>
              </w:rPr>
            </w:pPr>
            <w:r>
              <w:rPr>
                <w:rFonts w:eastAsia="Times New Roman"/>
              </w:rPr>
              <w:t>Номер проекта решения: 1.1</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Описание</w:t>
            </w:r>
          </w:p>
        </w:tc>
        <w:tc>
          <w:tcPr>
            <w:tcW w:w="0" w:type="auto"/>
            <w:shd w:val="clear" w:color="auto" w:fill="EEEEEE"/>
            <w:vAlign w:val="center"/>
            <w:hideMark/>
          </w:tcPr>
          <w:p w:rsidR="00000000" w:rsidRDefault="004D66FF">
            <w:pPr>
              <w:rPr>
                <w:rFonts w:eastAsia="Times New Roman"/>
              </w:rPr>
            </w:pPr>
            <w:r>
              <w:rPr>
                <w:rFonts w:eastAsia="Times New Roman"/>
              </w:rPr>
              <w:t>1. Из средств чистой прибыли ПАО «Полюс», полученной по результатам 6 месяцев 2025 года, а также части нераспределенной прибыли прошлых лет, выплатить (объявить) дивиденды по обыкновенным акциям ПАО «Полюс» по результатам 6 месяцев 2025 года в денежной фор</w:t>
            </w:r>
            <w:r>
              <w:rPr>
                <w:rFonts w:eastAsia="Times New Roman"/>
              </w:rPr>
              <w:t>ме в размере 70 (семьдесят) рублей 85 (восемьдесят пять) копеек на одну обыкновенную акцию ПАО «Полюс». 2. Установить 13 октября 2025 года датой, на которую определяются лица, имеющие право на получение дивидендов по результатам 6 месяцев 2025 года.</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 xml:space="preserve">Тип </w:t>
            </w:r>
            <w:r>
              <w:rPr>
                <w:rFonts w:eastAsia="Times New Roman"/>
              </w:rPr>
              <w:t>решения</w:t>
            </w:r>
          </w:p>
        </w:tc>
        <w:tc>
          <w:tcPr>
            <w:tcW w:w="0" w:type="auto"/>
            <w:shd w:val="clear" w:color="auto" w:fill="EEEEEE"/>
            <w:vAlign w:val="center"/>
            <w:hideMark/>
          </w:tcPr>
          <w:p w:rsidR="00000000" w:rsidRDefault="004D66FF">
            <w:pPr>
              <w:rPr>
                <w:rFonts w:eastAsia="Times New Roman"/>
              </w:rPr>
            </w:pPr>
            <w:r>
              <w:rPr>
                <w:rFonts w:eastAsia="Times New Roman"/>
              </w:rPr>
              <w:t>ORDI Обычное</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Только для информации</w:t>
            </w:r>
          </w:p>
        </w:tc>
        <w:tc>
          <w:tcPr>
            <w:tcW w:w="0" w:type="auto"/>
            <w:shd w:val="clear" w:color="auto" w:fill="EEEEEE"/>
            <w:vAlign w:val="center"/>
            <w:hideMark/>
          </w:tcPr>
          <w:p w:rsidR="00000000" w:rsidRDefault="004D66FF">
            <w:pPr>
              <w:rPr>
                <w:rFonts w:eastAsia="Times New Roman"/>
              </w:rPr>
            </w:pPr>
            <w:r>
              <w:rPr>
                <w:rFonts w:eastAsia="Times New Roman"/>
              </w:rPr>
              <w:t>Нет</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Статус</w:t>
            </w:r>
          </w:p>
        </w:tc>
        <w:tc>
          <w:tcPr>
            <w:tcW w:w="0" w:type="auto"/>
            <w:shd w:val="clear" w:color="auto" w:fill="EEEEEE"/>
            <w:vAlign w:val="center"/>
            <w:hideMark/>
          </w:tcPr>
          <w:p w:rsidR="00000000" w:rsidRDefault="004D66FF">
            <w:pPr>
              <w:rPr>
                <w:rFonts w:eastAsia="Times New Roman"/>
              </w:rPr>
            </w:pPr>
            <w:r>
              <w:rPr>
                <w:rFonts w:eastAsia="Times New Roman"/>
              </w:rPr>
              <w:t>ACTV Актуально</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Код варианта голосования</w:t>
            </w:r>
          </w:p>
        </w:tc>
        <w:tc>
          <w:tcPr>
            <w:tcW w:w="0" w:type="auto"/>
            <w:shd w:val="clear" w:color="auto" w:fill="EEEEEE"/>
            <w:vAlign w:val="center"/>
            <w:hideMark/>
          </w:tcPr>
          <w:p w:rsidR="00000000" w:rsidRDefault="004D66FF">
            <w:pPr>
              <w:rPr>
                <w:rFonts w:eastAsia="Times New Roman"/>
              </w:rPr>
            </w:pPr>
            <w:r>
              <w:rPr>
                <w:rFonts w:eastAsia="Times New Roman"/>
              </w:rPr>
              <w:t>CFOR За</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lastRenderedPageBreak/>
              <w:t>Код варианта голосования</w:t>
            </w:r>
          </w:p>
        </w:tc>
        <w:tc>
          <w:tcPr>
            <w:tcW w:w="0" w:type="auto"/>
            <w:shd w:val="clear" w:color="auto" w:fill="EEEEEE"/>
            <w:vAlign w:val="center"/>
            <w:hideMark/>
          </w:tcPr>
          <w:p w:rsidR="00000000" w:rsidRDefault="004D66FF">
            <w:pPr>
              <w:rPr>
                <w:rFonts w:eastAsia="Times New Roman"/>
              </w:rPr>
            </w:pPr>
            <w:r>
              <w:rPr>
                <w:rFonts w:eastAsia="Times New Roman"/>
              </w:rPr>
              <w:t>CAGS Против</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Код варианта голосования</w:t>
            </w:r>
          </w:p>
        </w:tc>
        <w:tc>
          <w:tcPr>
            <w:tcW w:w="0" w:type="auto"/>
            <w:shd w:val="clear" w:color="auto" w:fill="EEEEEE"/>
            <w:vAlign w:val="center"/>
            <w:hideMark/>
          </w:tcPr>
          <w:p w:rsidR="00000000" w:rsidRDefault="004D66FF">
            <w:pPr>
              <w:rPr>
                <w:rFonts w:eastAsia="Times New Roman"/>
              </w:rPr>
            </w:pPr>
            <w:r>
              <w:rPr>
                <w:rFonts w:eastAsia="Times New Roman"/>
              </w:rPr>
              <w:t>ABST Воздержаться</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RU000A0JNAA8</w:t>
            </w:r>
          </w:p>
        </w:tc>
        <w:tc>
          <w:tcPr>
            <w:tcW w:w="0" w:type="auto"/>
            <w:shd w:val="clear" w:color="auto" w:fill="EEEEEE"/>
            <w:vAlign w:val="center"/>
            <w:hideMark/>
          </w:tcPr>
          <w:p w:rsidR="00000000" w:rsidRDefault="004D66FF">
            <w:pPr>
              <w:rPr>
                <w:rFonts w:eastAsia="Times New Roman"/>
              </w:rPr>
            </w:pPr>
            <w:r>
              <w:rPr>
                <w:rFonts w:eastAsia="Times New Roman"/>
              </w:rPr>
              <w:t>POZO/01#RU#1-01-55192-E#Акция обыкновенная (вып.2)</w:t>
            </w:r>
          </w:p>
        </w:tc>
        <w:tc>
          <w:tcPr>
            <w:tcW w:w="0" w:type="auto"/>
            <w:vAlign w:val="center"/>
            <w:hideMark/>
          </w:tcPr>
          <w:p w:rsidR="00000000" w:rsidRDefault="004D66FF">
            <w:pPr>
              <w:rPr>
                <w:rFonts w:eastAsia="Times New Roman"/>
                <w:sz w:val="20"/>
                <w:szCs w:val="20"/>
              </w:rPr>
            </w:pPr>
          </w:p>
        </w:tc>
      </w:tr>
      <w:tr w:rsidR="00000000">
        <w:trPr>
          <w:tblCellSpacing w:w="7" w:type="dxa"/>
        </w:trPr>
        <w:tc>
          <w:tcPr>
            <w:tcW w:w="0" w:type="auto"/>
            <w:shd w:val="clear" w:color="auto" w:fill="EEEEEE"/>
            <w:vAlign w:val="center"/>
            <w:hideMark/>
          </w:tcPr>
          <w:p w:rsidR="00000000" w:rsidRDefault="004D66FF">
            <w:pPr>
              <w:rPr>
                <w:rFonts w:eastAsia="Times New Roman"/>
              </w:rPr>
            </w:pPr>
            <w:r>
              <w:rPr>
                <w:rFonts w:eastAsia="Times New Roman"/>
              </w:rPr>
              <w:t>RU000A0JNAA8</w:t>
            </w:r>
          </w:p>
        </w:tc>
        <w:tc>
          <w:tcPr>
            <w:tcW w:w="0" w:type="auto"/>
            <w:shd w:val="clear" w:color="auto" w:fill="EEEEEE"/>
            <w:vAlign w:val="center"/>
            <w:hideMark/>
          </w:tcPr>
          <w:p w:rsidR="00000000" w:rsidRDefault="004D66FF">
            <w:pPr>
              <w:rPr>
                <w:rFonts w:eastAsia="Times New Roman"/>
              </w:rPr>
            </w:pPr>
            <w:r>
              <w:rPr>
                <w:rFonts w:eastAsia="Times New Roman"/>
              </w:rPr>
              <w:t>POZO/DR1#RU#1-01-55192-E#Полюс ао02/DR1_1/133561119</w:t>
            </w:r>
          </w:p>
        </w:tc>
        <w:tc>
          <w:tcPr>
            <w:tcW w:w="0" w:type="auto"/>
            <w:vAlign w:val="center"/>
            <w:hideMark/>
          </w:tcPr>
          <w:p w:rsidR="00000000" w:rsidRDefault="004D66FF">
            <w:pPr>
              <w:rPr>
                <w:rFonts w:eastAsia="Times New Roman"/>
                <w:sz w:val="20"/>
                <w:szCs w:val="20"/>
              </w:rPr>
            </w:pPr>
          </w:p>
        </w:tc>
      </w:tr>
    </w:tbl>
    <w:p w:rsidR="00000000" w:rsidRDefault="004D66FF">
      <w:pPr>
        <w:rPr>
          <w:rFonts w:eastAsia="Times New Roman"/>
        </w:rPr>
      </w:pPr>
    </w:p>
    <w:p w:rsidR="00000000" w:rsidRDefault="004D66FF">
      <w:pPr>
        <w:pStyle w:val="2"/>
        <w:rPr>
          <w:rFonts w:eastAsia="Times New Roman"/>
        </w:rPr>
      </w:pPr>
      <w:r>
        <w:rPr>
          <w:rFonts w:eastAsia="Times New Roman"/>
        </w:rPr>
        <w:t>Повестка</w:t>
      </w:r>
    </w:p>
    <w:p w:rsidR="00000000" w:rsidRDefault="004D66FF">
      <w:pPr>
        <w:rPr>
          <w:rFonts w:eastAsia="Times New Roman"/>
        </w:rPr>
      </w:pPr>
      <w:r>
        <w:rPr>
          <w:rFonts w:eastAsia="Times New Roman"/>
        </w:rPr>
        <w:t xml:space="preserve">1. О выплате (объявлении) дивидендов по результатам 6 месяцев 2025 года. </w:t>
      </w:r>
    </w:p>
    <w:p w:rsidR="00000000" w:rsidRDefault="004D66FF">
      <w:pPr>
        <w:pStyle w:val="a3"/>
      </w:pPr>
      <w:r>
        <w:t>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 имеющих право на участие в данном корпоративном действии, согласно п. 9 ст. 52 Федерального з</w:t>
      </w:r>
      <w:r>
        <w:t>акона от 26 декабря 1995 года №208-ФЗ «Об акционерных обществах»*.</w:t>
      </w:r>
      <w:r>
        <w:br/>
      </w:r>
      <w:r>
        <w:br/>
        <w:t>* НРД не отвечает за полноту и достоверность информации, полученной от эмитента.</w:t>
      </w:r>
    </w:p>
    <w:p w:rsidR="00000000" w:rsidRDefault="004D66FF">
      <w:pPr>
        <w:pStyle w:val="a3"/>
      </w:pPr>
      <w:r>
        <w:t xml:space="preserve">Приложение 1: </w:t>
      </w:r>
      <w:hyperlink r:id="rId4" w:tgtFrame="_blank" w:history="1">
        <w:r>
          <w:rPr>
            <w:rStyle w:val="a4"/>
          </w:rPr>
          <w:t>Адрес в сети Интернет, по которому можно ознакомиться с дополнительной документацией</w:t>
        </w:r>
      </w:hyperlink>
    </w:p>
    <w:p w:rsidR="00000000" w:rsidRDefault="004D66FF">
      <w:pPr>
        <w:pStyle w:val="HTML"/>
      </w:pPr>
      <w:r>
        <w:t>По всем вопросам, связанным с настоящим сообщением, Вы можете обращаться к Вашим персональным менеджерам по телефонам: (495) 956-27-90, (495) 956-27-91/ For details please contact your account  manager (495) 956-27-90, (495) 956-27-91</w:t>
      </w:r>
    </w:p>
    <w:p w:rsidR="00000000" w:rsidRDefault="004D66FF">
      <w:pPr>
        <w:rPr>
          <w:rFonts w:eastAsia="Times New Roman"/>
        </w:rPr>
      </w:pPr>
      <w:r>
        <w:rPr>
          <w:rFonts w:eastAsia="Times New Roman"/>
        </w:rPr>
        <w:br/>
      </w:r>
    </w:p>
    <w:p w:rsidR="004D66FF" w:rsidRDefault="004D66FF">
      <w:pPr>
        <w:pStyle w:val="HTML"/>
      </w:pPr>
      <w:r>
        <w:t xml:space="preserve">Настоящий документ </w:t>
      </w:r>
      <w:r>
        <w:t>является визуализированной формой электронного документа и содержит существенную информацию. Полная информация содержится непосредственно в электронном документе.</w:t>
      </w:r>
    </w:p>
    <w:sectPr w:rsidR="004D6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F4D9C"/>
    <w:rsid w:val="004D66FF"/>
    <w:rsid w:val="00AF4D9C"/>
  </w:rsids>
  <m:mathPr>
    <m:mathFont m:val="Cambria Math"/>
    <m:brkBin m:val="before"/>
    <m:brkBinSub m:val="--"/>
    <m:smallFrac m:val="0"/>
    <m:dispDef/>
    <m:lMargin m:val="0"/>
    <m:rMargin m:val="0"/>
    <m:defJc m:val="centerGroup"/>
    <m:wrapIndent m:val="1440"/>
    <m:intLim m:val="subSup"/>
    <m:naryLim m:val="undOvr"/>
  </m:mathPr>
  <w:attachedSchema w:val="http://exslt.org/common"/>
  <w:attachedSchema w:val="http://www.itglobal.ru"/>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3A5E6-13D5-4334-888B-E8123214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27577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f8e58de2d56c493984878b1fcc0f2f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Тулупов Дмитрий Николаевич</dc:creator>
  <cp:keywords/>
  <dc:description/>
  <cp:lastModifiedBy>Тулупов Дмитрий Николаевич</cp:lastModifiedBy>
  <cp:revision>2</cp:revision>
  <dcterms:created xsi:type="dcterms:W3CDTF">2025-09-10T04:15:00Z</dcterms:created>
  <dcterms:modified xsi:type="dcterms:W3CDTF">2025-09-10T04:15:00Z</dcterms:modified>
</cp:coreProperties>
</file>