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B94">
      <w:pPr>
        <w:pStyle w:val="a3"/>
        <w:divId w:val="1342209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4220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27678153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</w:p>
        </w:tc>
      </w:tr>
      <w:tr w:rsidR="00000000">
        <w:trPr>
          <w:divId w:val="134220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</w:p>
        </w:tc>
      </w:tr>
      <w:tr w:rsidR="00000000">
        <w:trPr>
          <w:divId w:val="134220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220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4B9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854B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54B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B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54B94">
      <w:pPr>
        <w:rPr>
          <w:rFonts w:eastAsia="Times New Roman"/>
        </w:rPr>
      </w:pPr>
    </w:p>
    <w:p w:rsidR="00000000" w:rsidRDefault="00854B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4B9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</w:t>
      </w:r>
      <w:r>
        <w:rPr>
          <w:rFonts w:eastAsia="Times New Roman"/>
        </w:rPr>
        <w:t>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</w:t>
      </w:r>
      <w:r>
        <w:rPr>
          <w:rFonts w:eastAsia="Times New Roman"/>
        </w:rPr>
        <w:t>ь органов Общества.</w:t>
      </w:r>
      <w:r>
        <w:rPr>
          <w:rFonts w:eastAsia="Times New Roman"/>
        </w:rPr>
        <w:br/>
        <w:t xml:space="preserve">10. О согласии на заключение сделок, в совершении которых имеется заинтересованность. </w:t>
      </w:r>
    </w:p>
    <w:p w:rsidR="00000000" w:rsidRDefault="00854B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</w:t>
      </w:r>
      <w:r>
        <w:t xml:space="preserve">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</w:t>
      </w:r>
      <w:r>
        <w:t xml:space="preserve"> ИНФОРМАЦИИ".</w:t>
      </w:r>
      <w:r>
        <w:br/>
      </w:r>
      <w:r>
        <w:br/>
        <w:t xml:space="preserve">4.2 Информация о созыве общего собрания акционеров эмитента </w:t>
      </w:r>
    </w:p>
    <w:p w:rsidR="00000000" w:rsidRDefault="00854B9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</w:t>
      </w:r>
      <w:r>
        <w:t>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54B94" w:rsidRDefault="00854B94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85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1AFB"/>
    <w:rsid w:val="00311AFB"/>
    <w:rsid w:val="0085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2018-04-25T08:54:00Z</dcterms:created>
  <dcterms:modified xsi:type="dcterms:W3CDTF">2018-04-25T08:54:00Z</dcterms:modified>
</cp:coreProperties>
</file>