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072E">
      <w:pPr>
        <w:pStyle w:val="a3"/>
        <w:divId w:val="492328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232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50601636</w:t>
            </w:r>
          </w:p>
        </w:tc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</w:p>
        </w:tc>
      </w:tr>
      <w:tr w:rsidR="00000000">
        <w:trPr>
          <w:divId w:val="49232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</w:p>
        </w:tc>
      </w:tr>
      <w:tr w:rsidR="00000000">
        <w:trPr>
          <w:divId w:val="49232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232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072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CE072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589060X6226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E07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07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072E">
            <w:pPr>
              <w:rPr>
                <w:rFonts w:eastAsia="Times New Roman"/>
              </w:rPr>
            </w:pPr>
          </w:p>
        </w:tc>
      </w:tr>
    </w:tbl>
    <w:p w:rsidR="00000000" w:rsidRDefault="00CE072E">
      <w:pPr>
        <w:rPr>
          <w:rFonts w:eastAsia="Times New Roman"/>
        </w:rPr>
      </w:pPr>
    </w:p>
    <w:p w:rsidR="00000000" w:rsidRDefault="00CE072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E072E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E072E">
      <w:pPr>
        <w:pStyle w:val="a3"/>
      </w:pPr>
      <w:r>
        <w:t xml:space="preserve">Рекомендовать годовому Общему собранию акционеров Общества не выплачивать дивиденды по обыкновенным акциям Общества по итогам 2020 года. </w:t>
      </w:r>
    </w:p>
    <w:p w:rsidR="00000000" w:rsidRDefault="00CE07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072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 manager (495) 956-27-90, (495) 956-27-91</w:t>
      </w:r>
    </w:p>
    <w:p w:rsidR="00000000" w:rsidRDefault="00CE072E">
      <w:pPr>
        <w:rPr>
          <w:rFonts w:eastAsia="Times New Roman"/>
        </w:rPr>
      </w:pPr>
      <w:r>
        <w:rPr>
          <w:rFonts w:eastAsia="Times New Roman"/>
        </w:rPr>
        <w:br/>
      </w:r>
    </w:p>
    <w:p w:rsidR="00CE072E" w:rsidRDefault="00CE072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CE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7CB6"/>
    <w:rsid w:val="00CE072E"/>
    <w:rsid w:val="00D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007B61-2A1D-4985-9615-258601DC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71b6e25e74452489b454cf7b744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2021-04-28T04:15:00Z</dcterms:created>
  <dcterms:modified xsi:type="dcterms:W3CDTF">2021-04-28T04:15:00Z</dcterms:modified>
</cp:coreProperties>
</file>