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22A7">
      <w:pPr>
        <w:pStyle w:val="a3"/>
        <w:divId w:val="181386593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3865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36022838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</w:p>
        </w:tc>
      </w:tr>
      <w:tr w:rsidR="00000000">
        <w:trPr>
          <w:divId w:val="1813865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</w:p>
        </w:tc>
      </w:tr>
      <w:tr w:rsidR="00000000">
        <w:trPr>
          <w:divId w:val="1813865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35605532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</w:p>
        </w:tc>
      </w:tr>
      <w:tr w:rsidR="00000000">
        <w:trPr>
          <w:divId w:val="1813865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3865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22A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32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32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</w:tbl>
    <w:p w:rsidR="00000000" w:rsidRDefault="00632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2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Выплатить (объявить) дивиденды по результатам первого полугодия 2019 г. в размере 3 руб. 84 коп. на одну обыкновенную именную акцию АК «АЛРОСА» (ПАО) номинальной стоимостью 50 коп. из чистой прибыли АК «АЛРОСА» (ПАО) по результатам первого полугодия 201</w:t>
            </w:r>
            <w:r>
              <w:rPr>
                <w:rFonts w:eastAsia="Times New Roman"/>
              </w:rPr>
              <w:t xml:space="preserve">9 г., что совокупно по всем обыкновенным именным акциям АК «АЛРОСА» (ПАО) составляет 28 281 468 019,20 руб. </w:t>
            </w:r>
            <w:r>
              <w:rPr>
                <w:rFonts w:eastAsia="Times New Roman"/>
              </w:rPr>
              <w:lastRenderedPageBreak/>
              <w:t>Дивиденды выплатить в денежной форме. Сумма начисленных дивидендов в расчете на одного акционера определяется с точностью до одной копейки. Срок вып</w:t>
            </w:r>
            <w:r>
              <w:rPr>
                <w:rFonts w:eastAsia="Times New Roman"/>
              </w:rPr>
              <w:t>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</w:t>
            </w:r>
            <w:r>
              <w:rPr>
                <w:rFonts w:eastAsia="Times New Roman"/>
              </w:rPr>
              <w:t xml:space="preserve">неров лицам – 25 рабочих дней с даты, на которую определяются лица, имеющие право на получение дивидендов. 2) Утвердить 14 октября 2019 г.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2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6053191298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67020</w:t>
            </w:r>
            <w:r>
              <w:rPr>
                <w:rFonts w:eastAsia="Times New Roman"/>
              </w:rPr>
              <w:br/>
              <w:t>Воздержался: 449445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351065</w:t>
            </w:r>
          </w:p>
        </w:tc>
      </w:tr>
    </w:tbl>
    <w:p w:rsidR="00000000" w:rsidRDefault="006322A7">
      <w:pPr>
        <w:rPr>
          <w:rFonts w:eastAsia="Times New Roman"/>
        </w:rPr>
      </w:pPr>
    </w:p>
    <w:p w:rsidR="00000000" w:rsidRDefault="006322A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322A7">
      <w:pPr>
        <w:pStyle w:val="a3"/>
      </w:pPr>
      <w:r>
        <w:t>4.10. Информация о решениях, пр</w:t>
      </w:r>
      <w:r>
        <w:t>инятых общим собранием акционеров, а также об итогах голосования на общем собрании акционеров.</w:t>
      </w:r>
    </w:p>
    <w:p w:rsidR="00000000" w:rsidRDefault="006322A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322A7">
      <w:pPr>
        <w:pStyle w:val="a3"/>
      </w:pPr>
      <w:r>
        <w:t>Полную информацию о р</w:t>
      </w:r>
      <w:r>
        <w:t xml:space="preserve">езультатах голосования возможно просмотреть в приложенном файле - "Отчет об итогах голосования на общем собрании акционеров 30.09.2019" </w:t>
      </w:r>
    </w:p>
    <w:p w:rsidR="00000000" w:rsidRDefault="006322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322A7" w:rsidRDefault="006322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63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608C"/>
    <w:rsid w:val="003F608C"/>
    <w:rsid w:val="006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F2E609-6E34-49BF-89C8-C6FC792F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62664abadd43f1930fca625a9216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2019-10-02T08:42:00Z</dcterms:created>
  <dcterms:modified xsi:type="dcterms:W3CDTF">2019-10-02T08:42:00Z</dcterms:modified>
</cp:coreProperties>
</file>