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C7F">
      <w:pPr>
        <w:pStyle w:val="a3"/>
        <w:divId w:val="5018969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189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52124527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</w:p>
        </w:tc>
      </w:tr>
      <w:tr w:rsidR="00000000">
        <w:trPr>
          <w:divId w:val="50189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</w:p>
        </w:tc>
      </w:tr>
      <w:tr w:rsidR="00000000">
        <w:trPr>
          <w:divId w:val="50189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51635268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</w:p>
        </w:tc>
      </w:tr>
      <w:tr w:rsidR="00000000">
        <w:trPr>
          <w:divId w:val="50189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189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C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0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0C7F">
      <w:pPr>
        <w:rPr>
          <w:rFonts w:eastAsia="Times New Roman"/>
        </w:rPr>
      </w:pPr>
    </w:p>
    <w:p w:rsidR="00000000" w:rsidRDefault="00960C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0C7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 2. О распределении прибыли (в том числе о выплате (объявлении) дивидендов) и убытков Общества по результатам 2020 отчетного года. 3. Об избрании членов С</w:t>
      </w:r>
      <w:r>
        <w:rPr>
          <w:rFonts w:eastAsia="Times New Roman"/>
        </w:rPr>
        <w:t xml:space="preserve">овета директоров Общества. 4. Об избрании членов Ревизионной комиссии Общества. 5. Об утверждении Аудитора Общества. </w:t>
      </w:r>
    </w:p>
    <w:p w:rsidR="00000000" w:rsidRDefault="00960C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960C7F">
      <w:pPr>
        <w:pStyle w:val="a3"/>
      </w:pPr>
      <w:r>
        <w:t>4.2. Информация о созыве общего собрания акционеров эмитента.</w:t>
      </w:r>
    </w:p>
    <w:p w:rsidR="00000000" w:rsidRDefault="00960C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960C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960C7F">
      <w:pPr>
        <w:rPr>
          <w:rFonts w:eastAsia="Times New Roman"/>
        </w:rPr>
      </w:pPr>
      <w:r>
        <w:rPr>
          <w:rFonts w:eastAsia="Times New Roman"/>
        </w:rPr>
        <w:br/>
      </w:r>
    </w:p>
    <w:p w:rsidR="00960C7F" w:rsidRDefault="00960C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00BE"/>
    <w:rsid w:val="00960C7F"/>
    <w:rsid w:val="009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7AC08-D26B-4610-B60F-266187F4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eebb3a08744c5d962f3ba760e18b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2021-06-02T08:41:00Z</dcterms:created>
  <dcterms:modified xsi:type="dcterms:W3CDTF">2021-06-02T08:41:00Z</dcterms:modified>
</cp:coreProperties>
</file>