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033D">
      <w:pPr>
        <w:pStyle w:val="a3"/>
        <w:divId w:val="10191641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191641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47828832</w:t>
            </w:r>
          </w:p>
        </w:tc>
        <w:tc>
          <w:tcPr>
            <w:tcW w:w="0" w:type="auto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</w:p>
        </w:tc>
      </w:tr>
      <w:tr w:rsidR="00000000">
        <w:trPr>
          <w:divId w:val="10191641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</w:p>
        </w:tc>
      </w:tr>
      <w:tr w:rsidR="00000000">
        <w:trPr>
          <w:divId w:val="10191641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91641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9033D">
      <w:pPr>
        <w:pStyle w:val="1"/>
        <w:rPr>
          <w:rFonts w:eastAsia="Times New Roman"/>
        </w:rPr>
      </w:pPr>
      <w:r>
        <w:rPr>
          <w:rFonts w:eastAsia="Times New Roman"/>
        </w:rPr>
        <w:t xml:space="preserve">(PRED) О корпоративном действии "Частичное погашение без уменьшения номинала" с ценными бумагами эмитента ПАО "КАМАЗ" ИНН 1650032058 (облигация 4B02-02-55010-D-001P / ISIN RU000A1007V1)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0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3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404254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3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PRED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3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погашение без уменьшения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2021 г.</w:t>
            </w:r>
          </w:p>
        </w:tc>
      </w:tr>
    </w:tbl>
    <w:p w:rsidR="00000000" w:rsidRDefault="00D9033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53"/>
        <w:gridCol w:w="165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90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0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0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0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0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0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0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0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0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0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RU000A1007V1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RU000A1007V1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9033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8"/>
        <w:gridCol w:w="947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0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3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33 %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3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3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9033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9033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9033D">
      <w:pPr>
        <w:rPr>
          <w:rFonts w:eastAsia="Times New Roman"/>
        </w:rPr>
      </w:pPr>
      <w:r>
        <w:rPr>
          <w:rFonts w:eastAsia="Times New Roman"/>
        </w:rPr>
        <w:br/>
      </w:r>
    </w:p>
    <w:p w:rsidR="00D9033D" w:rsidRDefault="00D9033D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9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E0B1A"/>
    <w:rsid w:val="006E0B1A"/>
    <w:rsid w:val="00D9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C9118B-E798-4073-9292-AE6A5309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16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2021-03-05T04:11:00Z</dcterms:created>
  <dcterms:modified xsi:type="dcterms:W3CDTF">2021-03-05T04:11:00Z</dcterms:modified>
</cp:coreProperties>
</file>