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7BC">
      <w:pPr>
        <w:pStyle w:val="a3"/>
        <w:divId w:val="1439367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9367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108617884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</w:p>
        </w:tc>
      </w:tr>
      <w:tr w:rsidR="00000000">
        <w:trPr>
          <w:divId w:val="1439367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</w:p>
        </w:tc>
      </w:tr>
      <w:tr w:rsidR="00000000">
        <w:trPr>
          <w:divId w:val="1439367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9367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7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</w:t>
            </w:r>
            <w:r>
              <w:rPr>
                <w:rFonts w:eastAsia="Times New Roman"/>
              </w:rPr>
              <w:t>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77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</w:t>
            </w:r>
            <w:r>
              <w:rPr>
                <w:rFonts w:eastAsia="Times New Roman"/>
              </w:rPr>
              <w:t>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77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7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777BC">
      <w:pPr>
        <w:rPr>
          <w:rFonts w:eastAsia="Times New Roman"/>
        </w:rPr>
      </w:pPr>
    </w:p>
    <w:p w:rsidR="00000000" w:rsidRDefault="008777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7B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Общества по результатам 2024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7. О назначении аудиторской организации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 xml:space="preserve">8. О выплате членам Совета директоров Общества вознаграждений и компенсаций. </w:t>
      </w:r>
    </w:p>
    <w:p w:rsidR="00000000" w:rsidRDefault="008777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777BC">
      <w:pPr>
        <w:pStyle w:val="a3"/>
      </w:pPr>
      <w:r>
        <w:t>4.2 Инфо</w:t>
      </w:r>
      <w:r>
        <w:t>рмация о созыве общего собрания акционеров эмитента</w:t>
      </w:r>
    </w:p>
    <w:p w:rsidR="00000000" w:rsidRDefault="008777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8777BC">
      <w:pPr>
        <w:rPr>
          <w:rFonts w:eastAsia="Times New Roman"/>
        </w:rPr>
      </w:pPr>
      <w:r>
        <w:rPr>
          <w:rFonts w:eastAsia="Times New Roman"/>
        </w:rPr>
        <w:br/>
      </w:r>
    </w:p>
    <w:p w:rsidR="008777BC" w:rsidRDefault="008777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05F"/>
    <w:rsid w:val="001C205F"/>
    <w:rsid w:val="008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D3397A-89AA-45F7-BC82-5812E72A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2025-05-16T04:52:00Z</dcterms:created>
  <dcterms:modified xsi:type="dcterms:W3CDTF">2025-05-16T04:52:00Z</dcterms:modified>
</cp:coreProperties>
</file>