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1EDA">
      <w:pPr>
        <w:pStyle w:val="a3"/>
        <w:divId w:val="138382117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83821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28720359</w:t>
            </w:r>
          </w:p>
        </w:tc>
        <w:tc>
          <w:tcPr>
            <w:tcW w:w="0" w:type="auto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</w:p>
        </w:tc>
      </w:tr>
      <w:tr w:rsidR="00000000">
        <w:trPr>
          <w:divId w:val="1383821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</w:p>
        </w:tc>
      </w:tr>
      <w:tr w:rsidR="00000000">
        <w:trPr>
          <w:divId w:val="1383821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28165905</w:t>
            </w:r>
          </w:p>
        </w:tc>
        <w:tc>
          <w:tcPr>
            <w:tcW w:w="0" w:type="auto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</w:p>
        </w:tc>
      </w:tr>
      <w:tr w:rsidR="00000000">
        <w:trPr>
          <w:divId w:val="1383821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3821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1ED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346345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D1E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1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346345X4176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D1E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346349</w:t>
            </w:r>
          </w:p>
        </w:tc>
      </w:tr>
    </w:tbl>
    <w:p w:rsidR="00000000" w:rsidRDefault="00CD1E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2"/>
        <w:gridCol w:w="6543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D1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первого квартала отчетного 2018 года по размещенным обыкновенным именным акциям ПАО «ММК» </w:t>
            </w:r>
            <w:r>
              <w:rPr>
                <w:rFonts w:eastAsia="Times New Roman"/>
              </w:rPr>
              <w:t>в размере 0,801 рубля (с учетом налога) на одну акцию. Выплату дивидендов произвести в денежной форме, в безналичном порядке, в сроки, установленные Федеральным законом «Об акционерных обществах». Установить дату, на которую определяются лица, имеющие прав</w:t>
            </w:r>
            <w:r>
              <w:rPr>
                <w:rFonts w:eastAsia="Times New Roman"/>
              </w:rPr>
              <w:t xml:space="preserve">о на получение дивидендов, по размещенным обыкновенным именным акциям ПАО «ММК» по результатам первого квартала отчетного 2018 года, 25 июня 2018 года на конец операционного дня.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10137506943</w:t>
            </w:r>
            <w:r>
              <w:rPr>
                <w:rFonts w:eastAsia="Times New Roman"/>
              </w:rPr>
              <w:br/>
              <w:t>Воздержался: 1900</w:t>
            </w:r>
          </w:p>
        </w:tc>
      </w:tr>
    </w:tbl>
    <w:p w:rsidR="00000000" w:rsidRDefault="00CD1EDA">
      <w:pPr>
        <w:rPr>
          <w:rFonts w:eastAsia="Times New Roman"/>
        </w:rPr>
      </w:pPr>
    </w:p>
    <w:p w:rsidR="00000000" w:rsidRDefault="00CD1EDA">
      <w:pPr>
        <w:pStyle w:val="a3"/>
      </w:pPr>
      <w:r>
        <w:t>Настоящим сообщаем о</w:t>
      </w:r>
      <w:r>
        <w:t xml:space="preserve">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</w:t>
      </w:r>
      <w:r>
        <w:t xml:space="preserve">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D1EDA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</w:t>
      </w:r>
      <w:r>
        <w:t>и акционеров.</w:t>
      </w:r>
    </w:p>
    <w:p w:rsidR="00000000" w:rsidRDefault="00CD1ED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</w:t>
      </w:r>
      <w:r>
        <w:t xml:space="preserve">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D1E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</w:t>
        </w:r>
        <w:r>
          <w:rPr>
            <w:rStyle w:val="a4"/>
          </w:rPr>
          <w:t>ес в сети Интернет, по которому можно ознакомиться с дополнительной документацией</w:t>
        </w:r>
      </w:hyperlink>
    </w:p>
    <w:p w:rsidR="00CD1EDA" w:rsidRDefault="00CD1E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</w:t>
      </w:r>
      <w:r>
        <w:t>ntact your account  manager (495) 956-27-90, (495) 956-27-91</w:t>
      </w:r>
    </w:p>
    <w:sectPr w:rsidR="00CD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37C92"/>
    <w:rsid w:val="00C37C92"/>
    <w:rsid w:val="00CD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2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00bf8630264c458cb62157649326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2018-06-19T04:56:00Z</dcterms:created>
  <dcterms:modified xsi:type="dcterms:W3CDTF">2018-06-19T04:56:00Z</dcterms:modified>
</cp:coreProperties>
</file>