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17C">
      <w:pPr>
        <w:pStyle w:val="a3"/>
        <w:divId w:val="1190394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03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105831758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</w:p>
        </w:tc>
      </w:tr>
      <w:tr w:rsidR="00000000">
        <w:trPr>
          <w:divId w:val="11903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</w:p>
        </w:tc>
      </w:tr>
      <w:tr w:rsidR="00000000">
        <w:trPr>
          <w:divId w:val="11903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03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017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3F01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1015576X9257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3F01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01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</w:t>
            </w:r>
            <w:r>
              <w:rPr>
                <w:rFonts w:eastAsia="Times New Roman"/>
              </w:rPr>
              <w:t xml:space="preserve">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>40/12, корп.20, этаж 5, помещение II, комната 5А</w:t>
            </w:r>
          </w:p>
        </w:tc>
      </w:tr>
    </w:tbl>
    <w:p w:rsidR="00000000" w:rsidRDefault="003F017C">
      <w:pPr>
        <w:rPr>
          <w:rFonts w:eastAsia="Times New Roman"/>
        </w:rPr>
      </w:pPr>
    </w:p>
    <w:p w:rsidR="00000000" w:rsidRDefault="003F01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017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3F01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</w:t>
      </w:r>
      <w:r>
        <w:t>ия центральным депозитарием доступа к такой информации"</w:t>
      </w:r>
    </w:p>
    <w:p w:rsidR="00000000" w:rsidRDefault="003F017C">
      <w:pPr>
        <w:pStyle w:val="a3"/>
      </w:pPr>
      <w:r>
        <w:t>4.2 Информация о созыве общего собрания акционеров эмитента</w:t>
      </w:r>
    </w:p>
    <w:p w:rsidR="00000000" w:rsidRDefault="003F01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3F017C">
      <w:pPr>
        <w:rPr>
          <w:rFonts w:eastAsia="Times New Roman"/>
        </w:rPr>
      </w:pPr>
      <w:r>
        <w:rPr>
          <w:rFonts w:eastAsia="Times New Roman"/>
        </w:rPr>
        <w:br/>
      </w:r>
    </w:p>
    <w:p w:rsidR="003F017C" w:rsidRDefault="003F017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3F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A0D"/>
    <w:rsid w:val="003F017C"/>
    <w:rsid w:val="004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A13EB-224E-485E-B35D-E16A3E5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2025-03-11T04:42:00Z</dcterms:created>
  <dcterms:modified xsi:type="dcterms:W3CDTF">2025-03-11T04:42:00Z</dcterms:modified>
</cp:coreProperties>
</file>