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A09">
      <w:pPr>
        <w:pStyle w:val="a3"/>
        <w:divId w:val="18297833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9783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47428916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</w:p>
        </w:tc>
      </w:tr>
      <w:tr w:rsidR="00000000">
        <w:trPr>
          <w:divId w:val="1829783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</w:p>
        </w:tc>
      </w:tr>
      <w:tr w:rsidR="00000000">
        <w:trPr>
          <w:divId w:val="1829783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47059546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</w:p>
        </w:tc>
      </w:tr>
      <w:tr w:rsidR="00000000">
        <w:trPr>
          <w:divId w:val="1829783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783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A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567376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5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567376X4053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65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A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65A09">
      <w:pPr>
        <w:rPr>
          <w:rFonts w:eastAsia="Times New Roman"/>
        </w:rPr>
      </w:pPr>
    </w:p>
    <w:p w:rsidR="00000000" w:rsidRDefault="00B65A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5A09">
      <w:pPr>
        <w:rPr>
          <w:rFonts w:eastAsia="Times New Roman"/>
        </w:rPr>
      </w:pPr>
      <w:r>
        <w:rPr>
          <w:rFonts w:eastAsia="Times New Roman"/>
        </w:rPr>
        <w:t xml:space="preserve">1. О даче согласия на совершение взаимосвязанных сделок, в совершении которых имеется заинтересованность. </w:t>
      </w:r>
    </w:p>
    <w:p w:rsidR="00000000" w:rsidRDefault="00B65A0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5A09">
      <w:pPr>
        <w:pStyle w:val="a3"/>
      </w:pPr>
      <w:r>
        <w:t>4.2. Информация о созыве общего собрания акционеров эмитента.</w:t>
      </w:r>
    </w:p>
    <w:p w:rsidR="00000000" w:rsidRDefault="00B65A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5A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B65A09">
      <w:pPr>
        <w:rPr>
          <w:rFonts w:eastAsia="Times New Roman"/>
        </w:rPr>
      </w:pPr>
      <w:r>
        <w:rPr>
          <w:rFonts w:eastAsia="Times New Roman"/>
        </w:rPr>
        <w:br/>
      </w:r>
    </w:p>
    <w:p w:rsidR="00B65A09" w:rsidRDefault="00B65A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B6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5E1F"/>
    <w:rsid w:val="002F5E1F"/>
    <w:rsid w:val="00B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6FB278-1EB0-4D0A-80CB-4CB7D46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0abd699c384cdf89e13e23563cde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2021-02-20T04:37:00Z</dcterms:created>
  <dcterms:modified xsi:type="dcterms:W3CDTF">2021-02-20T04:37:00Z</dcterms:modified>
</cp:coreProperties>
</file>