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386">
      <w:pPr>
        <w:pStyle w:val="a3"/>
        <w:divId w:val="5219359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1935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85482786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</w:p>
        </w:tc>
      </w:tr>
      <w:tr w:rsidR="00000000">
        <w:trPr>
          <w:divId w:val="521935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</w:p>
        </w:tc>
      </w:tr>
      <w:tr w:rsidR="00000000">
        <w:trPr>
          <w:divId w:val="521935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85456001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</w:p>
        </w:tc>
      </w:tr>
      <w:tr w:rsidR="00000000">
        <w:trPr>
          <w:divId w:val="521935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1935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238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2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</w:t>
            </w:r>
            <w:r>
              <w:rPr>
                <w:rFonts w:eastAsia="Times New Roman"/>
              </w:rPr>
              <w:t>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2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</w:p>
        </w:tc>
      </w:tr>
    </w:tbl>
    <w:p w:rsidR="00000000" w:rsidRDefault="00FB23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3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FB2386">
      <w:pPr>
        <w:rPr>
          <w:rFonts w:eastAsia="Times New Roman"/>
        </w:rPr>
      </w:pPr>
    </w:p>
    <w:p w:rsidR="00000000" w:rsidRDefault="00FB23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2386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«Совкомфлот» прошлых лет на выплату дивидендов по акциям ПАО «Совкомфлот» и о выплате (объявлении) дивидендов </w:t>
      </w:r>
      <w:r>
        <w:rPr>
          <w:rFonts w:eastAsia="Times New Roman"/>
        </w:rPr>
        <w:t>по результатам деятельности ПАО «Совкомфлот» за девять месяцев 2023 года.</w:t>
      </w:r>
      <w:r>
        <w:rPr>
          <w:rFonts w:eastAsia="Times New Roman"/>
        </w:rPr>
        <w:t xml:space="preserve"> </w:t>
      </w:r>
    </w:p>
    <w:p w:rsidR="00000000" w:rsidRDefault="00FB23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p w:rsidR="00000000" w:rsidRDefault="00FB2386">
      <w:pPr>
        <w:rPr>
          <w:rFonts w:eastAsia="Times New Roman"/>
        </w:rPr>
      </w:pPr>
      <w:r>
        <w:rPr>
          <w:rFonts w:eastAsia="Times New Roman"/>
        </w:rPr>
        <w:br/>
      </w:r>
    </w:p>
    <w:p w:rsidR="00FB2386" w:rsidRDefault="00FB23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5EC"/>
    <w:rsid w:val="00A025EC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1ABB0-3696-473B-B727-C342618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2023-11-17T10:33:00Z</dcterms:created>
  <dcterms:modified xsi:type="dcterms:W3CDTF">2023-11-17T10:33:00Z</dcterms:modified>
</cp:coreProperties>
</file>