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35DA">
      <w:pPr>
        <w:pStyle w:val="a3"/>
        <w:divId w:val="14197865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9786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68535861</w:t>
            </w:r>
          </w:p>
        </w:tc>
        <w:tc>
          <w:tcPr>
            <w:tcW w:w="0" w:type="auto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</w:p>
        </w:tc>
      </w:tr>
      <w:tr w:rsidR="00000000">
        <w:trPr>
          <w:divId w:val="1419786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</w:p>
        </w:tc>
      </w:tr>
      <w:tr w:rsidR="00000000">
        <w:trPr>
          <w:divId w:val="1419786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9786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35DA">
      <w:pPr>
        <w:pStyle w:val="1"/>
        <w:rPr>
          <w:rFonts w:eastAsia="Times New Roman"/>
        </w:rPr>
      </w:pPr>
      <w:r>
        <w:rPr>
          <w:rFonts w:eastAsia="Times New Roman"/>
        </w:rPr>
        <w:t xml:space="preserve">(MCAL) О корпоративном действии "Досрочное обязательное погашение облигации" с ценными бумагами эмитента ПАО "ПИК СЗ" ИНН 7713011336 (облигация 4B02-07-01556-A / ISIN RU000A0JWP46)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720007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2022 г.</w:t>
            </w:r>
          </w:p>
        </w:tc>
      </w:tr>
    </w:tbl>
    <w:p w:rsidR="00000000" w:rsidRDefault="001335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3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335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335D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335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</w:t>
      </w:r>
      <w:r>
        <w:t>-91</w:t>
      </w:r>
    </w:p>
    <w:p w:rsidR="00000000" w:rsidRDefault="001335DA">
      <w:pPr>
        <w:rPr>
          <w:rFonts w:eastAsia="Times New Roman"/>
        </w:rPr>
      </w:pPr>
      <w:r>
        <w:rPr>
          <w:rFonts w:eastAsia="Times New Roman"/>
        </w:rPr>
        <w:br/>
      </w:r>
    </w:p>
    <w:p w:rsidR="001335DA" w:rsidRDefault="001335DA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1E5E"/>
    <w:rsid w:val="001335DA"/>
    <w:rsid w:val="006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670C82-576A-4945-B50F-6E8F2B9A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2022-07-15T05:58:00Z</dcterms:created>
  <dcterms:modified xsi:type="dcterms:W3CDTF">2022-07-15T05:58:00Z</dcterms:modified>
</cp:coreProperties>
</file>