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6A5B">
      <w:pPr>
        <w:pStyle w:val="a3"/>
        <w:divId w:val="11377942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77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108814867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</w:p>
        </w:tc>
      </w:tr>
      <w:tr w:rsidR="00000000">
        <w:trPr>
          <w:divId w:val="11377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</w:p>
        </w:tc>
      </w:tr>
      <w:tr w:rsidR="00000000">
        <w:trPr>
          <w:divId w:val="11377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77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6A5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</w:t>
            </w:r>
            <w:r>
              <w:rPr>
                <w:rFonts w:eastAsia="Times New Roman"/>
              </w:rPr>
              <w:t>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Самарская, д.1, отель «Radisson Blu Olympiyskiy Hotel»</w:t>
            </w:r>
            <w:r>
              <w:rPr>
                <w:rFonts w:eastAsia="Times New Roman"/>
              </w:rPr>
              <w:br/>
              <w:t>(«Рэдиссон Блю Олимпийский Отель»), 2 этаж</w:t>
            </w:r>
          </w:p>
        </w:tc>
      </w:tr>
    </w:tbl>
    <w:p w:rsidR="00000000" w:rsidRDefault="00BA6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01"/>
        <w:gridCol w:w="1992"/>
        <w:gridCol w:w="1394"/>
        <w:gridCol w:w="1527"/>
        <w:gridCol w:w="1614"/>
        <w:gridCol w:w="15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1040727X81040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vAlign w:val="center"/>
            <w:hideMark/>
          </w:tcPr>
          <w:p w:rsidR="00000000" w:rsidRDefault="00BA6A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6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</w:p>
        </w:tc>
      </w:tr>
    </w:tbl>
    <w:p w:rsidR="00000000" w:rsidRDefault="00BA6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</w:t>
            </w:r>
            <w:r>
              <w:rPr>
                <w:rFonts w:eastAsia="Times New Roman"/>
              </w:rPr>
              <w:t xml:space="preserve">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A6A5B">
      <w:pPr>
        <w:rPr>
          <w:rFonts w:eastAsia="Times New Roman"/>
        </w:rPr>
      </w:pPr>
    </w:p>
    <w:p w:rsidR="00000000" w:rsidRDefault="00BA6A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6A5B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Общества по результатам 2024 года. </w:t>
      </w:r>
      <w:r>
        <w:rPr>
          <w:rFonts w:eastAsia="Times New Roman"/>
        </w:rPr>
        <w:br/>
        <w:t>2. Об определении количественного состава сов</w:t>
      </w:r>
      <w:r>
        <w:rPr>
          <w:rFonts w:eastAsia="Times New Roman"/>
        </w:rPr>
        <w:t xml:space="preserve">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 выплате вознаграждения членам совета директоров Общества. </w:t>
      </w:r>
      <w:r>
        <w:rPr>
          <w:rFonts w:eastAsia="Times New Roman"/>
        </w:rPr>
        <w:br/>
        <w:t>5. О назначении аудиторской организации для проверки годовой бухгалтерской (финансовой) отчетности Общества, состав</w:t>
      </w:r>
      <w:r>
        <w:rPr>
          <w:rFonts w:eastAsia="Times New Roman"/>
        </w:rPr>
        <w:t xml:space="preserve">ляемой в соответствии с российскими стандартами бухгалтерского учета (РСБУ), за 2025 год. </w:t>
      </w:r>
      <w:r>
        <w:rPr>
          <w:rFonts w:eastAsia="Times New Roman"/>
        </w:rPr>
        <w:br/>
        <w:t>6. О назначении аудиторской организации для проверки консолидированной финансовой отчетности Общества, составляемой в соответствии с международными стандартами финан</w:t>
      </w:r>
      <w:r>
        <w:rPr>
          <w:rFonts w:eastAsia="Times New Roman"/>
        </w:rPr>
        <w:t xml:space="preserve">совой отчетности (МСФО), за 2025 год. 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BA6A5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A6A5B">
      <w:pPr>
        <w:pStyle w:val="a3"/>
      </w:pPr>
      <w:r>
        <w:t>4.2 Информация о созыве общего собрания акционеров эмитента</w:t>
      </w:r>
    </w:p>
    <w:p w:rsidR="00000000" w:rsidRDefault="00BA6A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BA6A5B">
      <w:pPr>
        <w:rPr>
          <w:rFonts w:eastAsia="Times New Roman"/>
        </w:rPr>
      </w:pPr>
      <w:r>
        <w:rPr>
          <w:rFonts w:eastAsia="Times New Roman"/>
        </w:rPr>
        <w:br/>
      </w:r>
    </w:p>
    <w:p w:rsidR="00BA6A5B" w:rsidRDefault="00BA6A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BA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4EA"/>
    <w:rsid w:val="008A24EA"/>
    <w:rsid w:val="00B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34975D-C18B-48A7-B0AE-2CAE106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2025-05-23T05:03:00Z</dcterms:created>
  <dcterms:modified xsi:type="dcterms:W3CDTF">2025-05-23T05:03:00Z</dcterms:modified>
</cp:coreProperties>
</file>