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F1D">
      <w:pPr>
        <w:pStyle w:val="a3"/>
        <w:divId w:val="3197693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97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32424183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</w:p>
        </w:tc>
      </w:tr>
      <w:tr w:rsidR="00000000">
        <w:trPr>
          <w:divId w:val="3197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</w:p>
        </w:tc>
      </w:tr>
      <w:tr w:rsidR="00000000">
        <w:trPr>
          <w:divId w:val="3197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32413292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</w:p>
        </w:tc>
      </w:tr>
      <w:tr w:rsidR="00000000">
        <w:trPr>
          <w:divId w:val="3197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97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2F1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2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398269X5900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E2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г. Москва, ул. Красноармейская, д.1, ПАО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E2F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заключаемой Публичным акционерным обществом «Мечел» (далее - «Общество») с «Газпромбанк» (Акционерное общество), (далее - «Залогодержатель» или «Банк»), связанной</w:t>
            </w:r>
            <w:r>
              <w:rPr>
                <w:rFonts w:eastAsia="Times New Roman"/>
              </w:rPr>
              <w:t xml:space="preserve"> с предоставлением обеспечения по обязательствам третьих лиц, состоящую из следующих взаимосвязанных сделок, предполагаемых к подписанию на следующих основных условиях: Полный текст решения смотреть в приложенных материалах. 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F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в прилагаемой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F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2F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2F1D">
      <w:pPr>
        <w:rPr>
          <w:rFonts w:eastAsia="Times New Roman"/>
        </w:rPr>
      </w:pPr>
    </w:p>
    <w:p w:rsidR="00000000" w:rsidRDefault="00AE2F1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E2F1D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сделки, в совершении которой имеется заинтересованность. 2. О внесении изменений в Устав Общества. </w:t>
      </w:r>
    </w:p>
    <w:p w:rsidR="00000000" w:rsidRDefault="00AE2F1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AE2F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2F1D" w:rsidRDefault="00AE2F1D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599B"/>
    <w:rsid w:val="00AE2F1D"/>
    <w:rsid w:val="00B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090423-1E72-48FC-87E8-248741D6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abb9acf4d2442b81adab33a470d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2019-03-07T07:06:00Z</dcterms:created>
  <dcterms:modified xsi:type="dcterms:W3CDTF">2019-03-07T07:06:00Z</dcterms:modified>
</cp:coreProperties>
</file>