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26EA8">
      <w:pPr>
        <w:pStyle w:val="a3"/>
        <w:divId w:val="820927259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82092725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115514472</w:t>
            </w:r>
          </w:p>
        </w:tc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</w:p>
        </w:tc>
      </w:tr>
      <w:tr w:rsidR="00000000">
        <w:trPr>
          <w:divId w:val="82092725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</w:p>
        </w:tc>
      </w:tr>
      <w:tr w:rsidR="00000000">
        <w:trPr>
          <w:divId w:val="82092725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82092725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026EA8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"М.видео" ИНН 7707602010 (акции 1-02-11700-A / ISIN RU000A</w:t>
      </w:r>
      <w:r>
        <w:rPr>
          <w:rFonts w:eastAsia="Times New Roman"/>
        </w:rPr>
        <w:t>0JPGA0, 1-02-11700-A-003D / ISIN RU000A10CJ01)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26E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1080187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октября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026EA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95"/>
        <w:gridCol w:w="169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026E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6E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6E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6E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6E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6E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6E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6E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1080187X9257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"М.видео"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1-02-11700-A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августа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RU000A0JPGA0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RU000A0JPGA0</w:t>
            </w:r>
          </w:p>
        </w:tc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1080187X86178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"М.видео"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1-02-11700-A-003D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RU000A10CJ01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RU000A10CJ01</w:t>
            </w:r>
          </w:p>
        </w:tc>
        <w:tc>
          <w:tcPr>
            <w:tcW w:w="0" w:type="auto"/>
            <w:vAlign w:val="center"/>
            <w:hideMark/>
          </w:tcPr>
          <w:p w:rsidR="00000000" w:rsidRDefault="00026E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26EA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523"/>
        <w:gridCol w:w="1456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026E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Отказаться от размещения эмиссионных ценных бумаг - дополнительного выпуска обыкновенных акций ПАО «М.видео», размещаемых путём закрытой подписки (дата регистрации дополнительного выпуска ценных бумаг 18.08.2025, регистрационный номер 1-02-11700-A-003D).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>
              <w:rPr>
                <w:rFonts w:eastAsia="Times New Roman"/>
              </w:rPr>
              <w:t>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114167057</w:t>
            </w:r>
            <w:r>
              <w:rPr>
                <w:rFonts w:eastAsia="Times New Roman"/>
              </w:rPr>
              <w:br/>
              <w:t>Против: 1118</w:t>
            </w:r>
            <w:r>
              <w:rPr>
                <w:rFonts w:eastAsia="Times New Roman"/>
              </w:rPr>
              <w:br/>
              <w:t>Воздержался: 1759</w:t>
            </w:r>
            <w:r>
              <w:rPr>
                <w:rFonts w:eastAsia="Times New Roman"/>
              </w:rPr>
              <w:br/>
              <w:t>Не участвовало: 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Определить предельное количество акций, которые ПАО «М.видео» вправе разместить дополнительно </w:t>
            </w:r>
            <w:r>
              <w:rPr>
                <w:rFonts w:eastAsia="Times New Roman"/>
              </w:rPr>
              <w:t>к размещённым (объявленные акции), - 2 000 000 000 (Два миллиарда) обыкновенных акций номинальной стоимостью 10 (десять) рублей каждая. Указанные акции после их размещения предоставляют те же права, что и ранее размещённые обыкновенные акции ПАО «М.видео».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114165958</w:t>
            </w:r>
            <w:r>
              <w:rPr>
                <w:rFonts w:eastAsia="Times New Roman"/>
              </w:rPr>
              <w:br/>
              <w:t>Против: 2330</w:t>
            </w:r>
            <w:r>
              <w:rPr>
                <w:rFonts w:eastAsia="Times New Roman"/>
              </w:rPr>
              <w:br/>
              <w:t>Воздержался: 1646</w:t>
            </w:r>
            <w:r>
              <w:rPr>
                <w:rFonts w:eastAsia="Times New Roman"/>
              </w:rPr>
              <w:br/>
              <w:t>Не участвовало: 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решения:3.1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Изменения № 4 в Устав ПАО «М.видео».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114166039</w:t>
            </w:r>
            <w:r>
              <w:rPr>
                <w:rFonts w:eastAsia="Times New Roman"/>
              </w:rPr>
              <w:br/>
              <w:t>Против: 2235</w:t>
            </w:r>
            <w:r>
              <w:rPr>
                <w:rFonts w:eastAsia="Times New Roman"/>
              </w:rPr>
              <w:br/>
              <w:t>Воздержался: 1660</w:t>
            </w:r>
            <w:r>
              <w:rPr>
                <w:rFonts w:eastAsia="Times New Roman"/>
              </w:rPr>
              <w:br/>
              <w:t>Не участвовало: 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решения:4.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Увеличить уставный капитал ПАО «М.видео» (далее – «Общество») путём размещения дополнительных обыкновенных акций (далее - «Акции») на следующих условиях: Количество размещаемых Акций: 1 500 000 000 (Один миллиард пятьсот миллионов) штук. Способ размещени</w:t>
            </w:r>
            <w:r>
              <w:rPr>
                <w:rFonts w:eastAsia="Times New Roman"/>
              </w:rPr>
              <w:t xml:space="preserve">я Акций: открытая подписка. Номинальная стоимость одной Акции: 10 (Десять) рублей. Цена размещения Акций или порядок её определения (в том числе при осуществлении преимущественного права приобретения размещаемых Акций) будет установлена Советом директоров </w:t>
            </w:r>
            <w:r>
              <w:rPr>
                <w:rFonts w:eastAsia="Times New Roman"/>
              </w:rPr>
              <w:t>Общества после окончания срока действия преимущественного права приобретения размещаемых Акций и не позднее начала размещения Акций. Полный текст в файле Решение 4.docx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6E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114165906</w:t>
            </w:r>
            <w:r>
              <w:rPr>
                <w:rFonts w:eastAsia="Times New Roman"/>
              </w:rPr>
              <w:br/>
              <w:t>Против: 3933</w:t>
            </w:r>
            <w:r>
              <w:rPr>
                <w:rFonts w:eastAsia="Times New Roman"/>
              </w:rPr>
              <w:br/>
              <w:t>Воздержался: 95</w:t>
            </w:r>
            <w:r>
              <w:rPr>
                <w:rFonts w:eastAsia="Times New Roman"/>
              </w:rPr>
              <w:br/>
              <w:t>Не участвовало: 0</w:t>
            </w:r>
          </w:p>
        </w:tc>
      </w:tr>
    </w:tbl>
    <w:p w:rsidR="00000000" w:rsidRDefault="00026EA8">
      <w:pPr>
        <w:rPr>
          <w:rFonts w:eastAsia="Times New Roman"/>
        </w:rPr>
      </w:pPr>
    </w:p>
    <w:p w:rsidR="00000000" w:rsidRDefault="00026EA8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026EA8">
      <w:pPr>
        <w:pStyle w:val="a3"/>
      </w:pPr>
      <w:r>
        <w:t xml:space="preserve">4.4 Информация о решениях, принятых общим собранием акционеров эмитента, а также об итогах </w:t>
      </w:r>
      <w:r>
        <w:t xml:space="preserve">голосования на общем собрании акционеров эмитента </w:t>
      </w:r>
    </w:p>
    <w:p w:rsidR="00000000" w:rsidRDefault="00026EA8">
      <w:pPr>
        <w:pStyle w:val="a3"/>
      </w:pPr>
      <w:r>
        <w:lastRenderedPageBreak/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>
        <w:br/>
      </w:r>
      <w:r>
        <w:br/>
        <w:t>* НРД не отвечает за полн</w:t>
      </w:r>
      <w:r>
        <w:t>оту и достоверность информации, полученной от третьих лиц.</w:t>
      </w:r>
    </w:p>
    <w:p w:rsidR="00000000" w:rsidRDefault="00026EA8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</w:t>
        </w:r>
        <w:r>
          <w:rPr>
            <w:rStyle w:val="a4"/>
          </w:rPr>
          <w:t>льной документацией</w:t>
        </w:r>
      </w:hyperlink>
    </w:p>
    <w:p w:rsidR="00000000" w:rsidRDefault="00026EA8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026EA8">
      <w:pPr>
        <w:rPr>
          <w:rFonts w:eastAsia="Times New Roman"/>
        </w:rPr>
      </w:pPr>
      <w:r>
        <w:rPr>
          <w:rFonts w:eastAsia="Times New Roman"/>
        </w:rPr>
        <w:br/>
      </w:r>
    </w:p>
    <w:p w:rsidR="00026EA8" w:rsidRDefault="00026EA8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02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4583E"/>
    <w:rsid w:val="00026EA8"/>
    <w:rsid w:val="005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88F754-DE38-4B5F-BD6F-7C3D5294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d02d9a2b73a4d61b7baea33e7c0af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2025-10-15T04:01:00Z</dcterms:created>
  <dcterms:modified xsi:type="dcterms:W3CDTF">2025-10-15T04:01:00Z</dcterms:modified>
</cp:coreProperties>
</file>