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652B">
      <w:pPr>
        <w:pStyle w:val="a3"/>
        <w:divId w:val="18203443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034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72026155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</w:p>
        </w:tc>
      </w:tr>
      <w:tr w:rsidR="00000000">
        <w:trPr>
          <w:divId w:val="182034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</w:p>
        </w:tc>
      </w:tr>
      <w:tr w:rsidR="00000000">
        <w:trPr>
          <w:divId w:val="182034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0344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652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6652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749610X6242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665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65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652B">
            <w:pPr>
              <w:rPr>
                <w:rFonts w:eastAsia="Times New Roman"/>
              </w:rPr>
            </w:pPr>
          </w:p>
        </w:tc>
      </w:tr>
    </w:tbl>
    <w:p w:rsidR="00000000" w:rsidRDefault="0046652B">
      <w:pPr>
        <w:rPr>
          <w:rFonts w:eastAsia="Times New Roman"/>
        </w:rPr>
      </w:pPr>
    </w:p>
    <w:p w:rsidR="00000000" w:rsidRDefault="0046652B">
      <w:pPr>
        <w:pStyle w:val="a3"/>
      </w:pPr>
      <w:r>
        <w:t>Дата проведения внеочередного Общего собрания акционеров (дата окончания приема заполненных бюллетеней) ПАО "Россети Московский регион": 23 декабря 2022 года. Акционеры Общества, являющиеся в совокупности владельцами не менее двух процентов голосующих акци</w:t>
      </w:r>
      <w:r>
        <w:t xml:space="preserve">й Общества, вправе не позднее 22 ноября 2022 года предложить кандидатов для избрания в состав Совета директоров Общества. </w:t>
      </w:r>
    </w:p>
    <w:p w:rsidR="00000000" w:rsidRDefault="004665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46652B">
      <w:pPr>
        <w:rPr>
          <w:rFonts w:eastAsia="Times New Roman"/>
        </w:rPr>
      </w:pPr>
      <w:r>
        <w:rPr>
          <w:rFonts w:eastAsia="Times New Roman"/>
        </w:rPr>
        <w:br/>
      </w:r>
    </w:p>
    <w:p w:rsidR="0046652B" w:rsidRDefault="0046652B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46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7786"/>
    <w:rsid w:val="0046652B"/>
    <w:rsid w:val="00C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875B8-8811-4C58-8A4A-6BF815D4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2022-11-03T04:36:00Z</dcterms:created>
  <dcterms:modified xsi:type="dcterms:W3CDTF">2022-11-03T04:36:00Z</dcterms:modified>
</cp:coreProperties>
</file>