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3A64">
      <w:pPr>
        <w:pStyle w:val="a3"/>
        <w:divId w:val="4470416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7041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108705473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</w:p>
        </w:tc>
      </w:tr>
      <w:tr w:rsidR="00000000">
        <w:trPr>
          <w:divId w:val="447041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</w:p>
        </w:tc>
      </w:tr>
      <w:tr w:rsidR="00000000">
        <w:trPr>
          <w:divId w:val="447041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61746351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</w:p>
        </w:tc>
      </w:tr>
      <w:tr w:rsidR="00000000">
        <w:trPr>
          <w:divId w:val="447041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7041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3A6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</w:tbl>
    <w:p w:rsidR="00000000" w:rsidRDefault="00163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163A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3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63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A64">
            <w:pPr>
              <w:rPr>
                <w:rFonts w:eastAsia="Times New Roman"/>
              </w:rPr>
            </w:pPr>
          </w:p>
        </w:tc>
      </w:tr>
    </w:tbl>
    <w:p w:rsidR="00000000" w:rsidRDefault="00163A64">
      <w:pPr>
        <w:rPr>
          <w:rFonts w:eastAsia="Times New Roman"/>
        </w:rPr>
      </w:pPr>
    </w:p>
    <w:p w:rsidR="00000000" w:rsidRDefault="00163A64">
      <w:pPr>
        <w:pStyle w:val="a3"/>
      </w:pPr>
      <w:r>
        <w:lastRenderedPageBreak/>
        <w:t xml:space="preserve">Окончание срока для обращения акционеров в отношении выплаты сумм дивидендов за все </w:t>
      </w:r>
      <w:r>
        <w:t>периоды по девять месяцев 2021 года.</w:t>
      </w:r>
    </w:p>
    <w:p w:rsidR="00000000" w:rsidRDefault="00163A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3A64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3A64">
      <w:pPr>
        <w:rPr>
          <w:rFonts w:eastAsia="Times New Roman"/>
        </w:rPr>
      </w:pPr>
      <w:r>
        <w:rPr>
          <w:rFonts w:eastAsia="Times New Roman"/>
        </w:rPr>
        <w:br/>
      </w:r>
    </w:p>
    <w:p w:rsidR="00163A64" w:rsidRDefault="00163A64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7E9F"/>
    <w:rsid w:val="00163A64"/>
    <w:rsid w:val="0020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53DEA4-2D3C-4A2D-8140-7F994E3C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8903f3a3ec45e484e0f4ce2aeaef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2025-05-20T04:56:00Z</dcterms:created>
  <dcterms:modified xsi:type="dcterms:W3CDTF">2025-05-20T04:56:00Z</dcterms:modified>
</cp:coreProperties>
</file>