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116A">
      <w:pPr>
        <w:pStyle w:val="a3"/>
        <w:divId w:val="20920415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2041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35401867</w:t>
            </w:r>
          </w:p>
        </w:tc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</w:p>
        </w:tc>
      </w:tr>
      <w:tr w:rsidR="00000000">
        <w:trPr>
          <w:divId w:val="2092041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</w:p>
        </w:tc>
      </w:tr>
      <w:tr w:rsidR="00000000">
        <w:trPr>
          <w:divId w:val="2092041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2041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116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1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434944X7952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434944X18155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генерирующая компания </w:t>
            </w:r>
            <w:r>
              <w:rPr>
                <w:rFonts w:eastAsia="Times New Roman"/>
              </w:rPr>
              <w:t>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61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1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</w:t>
            </w:r>
            <w:r>
              <w:rPr>
                <w:rFonts w:eastAsia="Times New Roman"/>
              </w:rPr>
              <w:t xml:space="preserve">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6116A">
      <w:pPr>
        <w:rPr>
          <w:rFonts w:eastAsia="Times New Roman"/>
        </w:rPr>
      </w:pPr>
    </w:p>
    <w:p w:rsidR="00000000" w:rsidRDefault="006611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116A">
      <w:pPr>
        <w:rPr>
          <w:rFonts w:eastAsia="Times New Roman"/>
        </w:rPr>
      </w:pPr>
      <w:r>
        <w:rPr>
          <w:rFonts w:eastAsia="Times New Roman"/>
        </w:rPr>
        <w:t xml:space="preserve">1. О передаче полномочий единоличного исполнительного органа Общества управляющей организации. </w:t>
      </w:r>
    </w:p>
    <w:p w:rsidR="00000000" w:rsidRDefault="0066116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6116A">
      <w:pPr>
        <w:pStyle w:val="a3"/>
      </w:pPr>
      <w:r>
        <w:t>4.2. Информация о созыве общего собрания акционеров эмитента.</w:t>
      </w:r>
    </w:p>
    <w:p w:rsidR="0066116A" w:rsidRDefault="0066116A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6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561F"/>
    <w:rsid w:val="0066116A"/>
    <w:rsid w:val="00A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60B61-BA94-4EC9-8B6A-F72D64D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2019-08-27T04:46:00Z</dcterms:created>
  <dcterms:modified xsi:type="dcterms:W3CDTF">2019-08-27T04:46:00Z</dcterms:modified>
</cp:coreProperties>
</file>