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1B8D">
      <w:pPr>
        <w:pStyle w:val="a3"/>
        <w:divId w:val="425331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533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78384576</w:t>
            </w:r>
          </w:p>
        </w:tc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</w:p>
        </w:tc>
      </w:tr>
      <w:tr w:rsidR="00000000">
        <w:trPr>
          <w:divId w:val="42533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</w:p>
        </w:tc>
      </w:tr>
      <w:tr w:rsidR="00000000">
        <w:trPr>
          <w:divId w:val="42533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533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1B8D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781B8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808943X10563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81B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776246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B8D">
            <w:pPr>
              <w:rPr>
                <w:rFonts w:eastAsia="Times New Roman"/>
              </w:rPr>
            </w:pPr>
          </w:p>
        </w:tc>
      </w:tr>
    </w:tbl>
    <w:p w:rsidR="00000000" w:rsidRDefault="00781B8D">
      <w:pPr>
        <w:rPr>
          <w:rFonts w:eastAsia="Times New Roman"/>
        </w:rPr>
      </w:pPr>
    </w:p>
    <w:p w:rsidR="00000000" w:rsidRDefault="00781B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81B8D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781B8D">
      <w:pPr>
        <w:pStyle w:val="a3"/>
      </w:pPr>
      <w:r>
        <w:lastRenderedPageBreak/>
        <w:t>Рекомендовать годовому общему собранию акционеров ОАО "Белон" принять решение не выплачивать д</w:t>
      </w:r>
      <w:r>
        <w:t>ивиденды по обыкновенным акциям ОАО "Белон" по результатам отчетного 2022 года.</w:t>
      </w:r>
    </w:p>
    <w:p w:rsidR="00000000" w:rsidRDefault="00781B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781B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</w:t>
      </w:r>
      <w:r>
        <w:t>90, (495) 956-27-91</w:t>
      </w:r>
    </w:p>
    <w:p w:rsidR="00000000" w:rsidRDefault="00781B8D">
      <w:pPr>
        <w:rPr>
          <w:rFonts w:eastAsia="Times New Roman"/>
        </w:rPr>
      </w:pPr>
      <w:r>
        <w:rPr>
          <w:rFonts w:eastAsia="Times New Roman"/>
        </w:rPr>
        <w:br/>
      </w:r>
    </w:p>
    <w:p w:rsidR="00781B8D" w:rsidRDefault="00781B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73BC"/>
    <w:rsid w:val="00781B8D"/>
    <w:rsid w:val="00C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E86880-C005-4402-9895-36C6015A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18742def7b4bd7880ce8c4cdca06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2023-05-22T05:13:00Z</dcterms:created>
  <dcterms:modified xsi:type="dcterms:W3CDTF">2023-05-22T05:13:00Z</dcterms:modified>
</cp:coreProperties>
</file>