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6084">
      <w:pPr>
        <w:pStyle w:val="a3"/>
        <w:divId w:val="18633836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338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32607026</w:t>
            </w:r>
          </w:p>
        </w:tc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</w:p>
        </w:tc>
      </w:tr>
      <w:tr w:rsidR="00000000">
        <w:trPr>
          <w:divId w:val="186338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</w:p>
        </w:tc>
      </w:tr>
      <w:tr w:rsidR="00000000">
        <w:trPr>
          <w:divId w:val="186338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32559937</w:t>
            </w:r>
          </w:p>
        </w:tc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</w:p>
        </w:tc>
      </w:tr>
      <w:tr w:rsidR="00000000">
        <w:trPr>
          <w:divId w:val="186338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338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608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400731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460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46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400731X7948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400731X12181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B460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апреля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460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731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46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увеличении уставного капитала ПАО «Распадская» путем размещения дополнительных акций.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ПАО «Распадская» путем размещения дополнительных акций на следующих условиях: (полная формулировка</w:t>
            </w:r>
            <w:r>
              <w:rPr>
                <w:rFonts w:eastAsia="Times New Roman"/>
              </w:rPr>
              <w:t xml:space="preserve"> решения указана в приложенном файле) </w:t>
            </w:r>
          </w:p>
        </w:tc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608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46084">
      <w:pPr>
        <w:rPr>
          <w:rFonts w:eastAsia="Times New Roman"/>
        </w:rPr>
      </w:pPr>
    </w:p>
    <w:p w:rsidR="00000000" w:rsidRDefault="00B4608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46084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капитала ПАО «Распадская» путем размещения дополнительных акций. </w:t>
      </w:r>
    </w:p>
    <w:p w:rsidR="00000000" w:rsidRDefault="00B4608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4608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46084" w:rsidRDefault="00B4608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sectPr w:rsidR="00B4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354C"/>
    <w:rsid w:val="0069354C"/>
    <w:rsid w:val="00B4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F68259-2A17-47E8-877F-3067D6C3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bc0f5bf26cf4189a428b1ce5a306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2019-03-21T09:30:00Z</dcterms:created>
  <dcterms:modified xsi:type="dcterms:W3CDTF">2019-03-21T09:30:00Z</dcterms:modified>
</cp:coreProperties>
</file>