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587B">
      <w:pPr>
        <w:pStyle w:val="a3"/>
        <w:divId w:val="200639237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06392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30718935</w:t>
            </w:r>
          </w:p>
        </w:tc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</w:p>
        </w:tc>
      </w:tr>
      <w:tr w:rsidR="00000000">
        <w:trPr>
          <w:divId w:val="2006392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</w:p>
        </w:tc>
      </w:tr>
      <w:tr w:rsidR="00000000">
        <w:trPr>
          <w:divId w:val="2006392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30688947</w:t>
            </w:r>
          </w:p>
        </w:tc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</w:p>
        </w:tc>
      </w:tr>
      <w:tr w:rsidR="00000000">
        <w:trPr>
          <w:divId w:val="2006392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6392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587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374447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0258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374447X17717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258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8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2587B">
      <w:pPr>
        <w:rPr>
          <w:rFonts w:eastAsia="Times New Roman"/>
        </w:rPr>
      </w:pPr>
    </w:p>
    <w:p w:rsidR="00000000" w:rsidRDefault="000258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587B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Совета директоров Общества, избранного на годовом Общем собрании акционеров Общества 29 июня 2018 года. </w:t>
      </w:r>
      <w:r>
        <w:rPr>
          <w:rFonts w:eastAsia="Times New Roman"/>
        </w:rPr>
        <w:br/>
        <w:t xml:space="preserve">2. Избрание Совета директоров Общества. </w:t>
      </w:r>
      <w:r>
        <w:rPr>
          <w:rFonts w:eastAsia="Times New Roman"/>
        </w:rPr>
        <w:br/>
        <w:t>3. Утверждение количественного состава Правления Общества и избрание Правл</w:t>
      </w:r>
      <w:r>
        <w:rPr>
          <w:rFonts w:eastAsia="Times New Roman"/>
        </w:rPr>
        <w:t xml:space="preserve">ения Общества. </w:t>
      </w:r>
    </w:p>
    <w:p w:rsidR="00000000" w:rsidRDefault="0002587B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</w:t>
      </w:r>
      <w:r>
        <w:t>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258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2587B" w:rsidRDefault="000258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02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D0765"/>
    <w:rsid w:val="0002587B"/>
    <w:rsid w:val="00DD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3be6703c654962b430a7508ac7a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2018-11-01T04:22:00Z</dcterms:created>
  <dcterms:modified xsi:type="dcterms:W3CDTF">2018-11-01T04:22:00Z</dcterms:modified>
</cp:coreProperties>
</file>