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6FAB">
      <w:pPr>
        <w:pStyle w:val="a3"/>
        <w:divId w:val="101045088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10450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28972987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</w:tr>
      <w:tr w:rsidR="00000000">
        <w:trPr>
          <w:divId w:val="1010450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</w:tr>
      <w:tr w:rsidR="00000000">
        <w:trPr>
          <w:divId w:val="1010450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28485907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</w:tr>
      <w:tr w:rsidR="00000000">
        <w:trPr>
          <w:divId w:val="1010450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0450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F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"Русолово" ИНН 7706774915 (акция 1-01-15065-A / ISIN RU000A0JU1B0)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0"/>
        <w:gridCol w:w="57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682711, п. Солнечный, Хабаровский край, ул. Ленина, 27</w:t>
            </w:r>
          </w:p>
        </w:tc>
      </w:tr>
    </w:tbl>
    <w:p w:rsidR="00000000" w:rsidRDefault="007D6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349351X20198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"Русолово"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1-01-15065-A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D6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349455</w:t>
            </w:r>
          </w:p>
        </w:tc>
      </w:tr>
    </w:tbl>
    <w:p w:rsidR="00000000" w:rsidRDefault="007D6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91"/>
        <w:gridCol w:w="65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6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Избрать Председательствующим на годовом Общем собрании акционеров ПАО «Русолово» Колесова Е.А. </w:t>
            </w:r>
            <w:r>
              <w:rPr>
                <w:rFonts w:eastAsia="Times New Roman"/>
              </w:rPr>
              <w:t xml:space="preserve">1.2. Избрать секретарем годового Общего собрания акционеров Общества ПАО «Русолово» Манаенкову Е.Г. 1.3. Поручить выполнение функций счетной комиссии регистратору Общества – ООО «Регистратор «Гарант».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годовой отчет ПАО «Русолово» за 2017 год. 2.2. Утвердить годовую бухгалтерскую отчетность ПАО «Русолово» за 2017 год, в том числе отчет о финансовых результатах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3.Чистую прибыль (убыток) ПАО «Русолово», полученную по результатам отчетного 2017 финансового года, не распределять.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4.Не выплачивать дивиденды по размещенным обыкновенным акциям ПАО «Русолово» по результатам отчетного 2017 финансового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Определить количественный состав Совета дирек</w:t>
            </w:r>
            <w:r>
              <w:rPr>
                <w:rFonts w:eastAsia="Times New Roman"/>
              </w:rPr>
              <w:t>торов ПАО «Русолово» - 7 (семь)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Совет директоров Общества следующих кандидатов: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20662002319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Колесов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Максим Русланович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Парфенов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Осипук Степан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Мангилев Дмитрий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Семенова Екатерина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7.1. Определить количественный состав Ревизионной комиссии Общества -1 (один) человек. </w:t>
            </w:r>
            <w:r>
              <w:rPr>
                <w:rFonts w:eastAsia="Times New Roman"/>
              </w:rPr>
              <w:t xml:space="preserve">7.2. Избрать Ревизионную комиссию (Ревизора) Общества: : Барович Екатерина Ильинична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Утвердить Аудитором для проведения независимого аудита бухгалтерской отчетности Общества на 2018 год </w:t>
            </w:r>
            <w:r>
              <w:rPr>
                <w:rFonts w:eastAsia="Times New Roman"/>
              </w:rPr>
              <w:t>- ООО «Кроу 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9.1.Дать согласие на совершение ПАО «Русолово» сделок, в совершении которых имеется заинтересованность, на следующих существенных условиях: </w:t>
            </w:r>
            <w:r>
              <w:rPr>
                <w:rFonts w:eastAsia="Times New Roman"/>
              </w:rPr>
              <w:t>Стороны сделки: ПАО «Русолово» и ОАО «ОРК» (ОГРН 1102717000198, ИНН 2717017562) Предметы сделок: - предоставление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</w:t>
            </w:r>
            <w:r>
              <w:rPr>
                <w:rFonts w:eastAsia="Times New Roman"/>
              </w:rPr>
              <w:t>твом или Обществу поручительства, банковской гарантии или залога; - купля-продажа ценных бумаг; - выполнение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</w:t>
            </w:r>
            <w:r>
              <w:rPr>
                <w:rFonts w:eastAsia="Times New Roman"/>
              </w:rPr>
              <w:t xml:space="preserve">но-исследовательских и других; - оказание Обществом или для Общества услуг, в том числе: консультационных,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«Правоурмийское» (ОГРН 1</w:t>
            </w:r>
            <w:r>
              <w:rPr>
                <w:rFonts w:eastAsia="Times New Roman"/>
              </w:rPr>
              <w:t>072717000179, ИНН 2717015290). Предметы сделок: - предоставление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</w:t>
            </w:r>
            <w:r>
              <w:rPr>
                <w:rFonts w:eastAsia="Times New Roman"/>
              </w:rPr>
              <w:t>нтии или залога; - купля-продажа ценных бумаг; - выполнение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</w:t>
            </w:r>
            <w:r>
              <w:rPr>
                <w:rFonts w:eastAsia="Times New Roman"/>
              </w:rPr>
              <w:t xml:space="preserve">ом или для Общества услуг, в том числе: консультационных,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ПАО «Селигдар» (ОГРН 1071402000438, ИНН1402047184). Пре</w:t>
            </w:r>
            <w:r>
              <w:rPr>
                <w:rFonts w:eastAsia="Times New Roman"/>
              </w:rPr>
              <w:t>дметы сделок: - предоставление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</w:t>
            </w:r>
            <w:r>
              <w:rPr>
                <w:rFonts w:eastAsia="Times New Roman"/>
              </w:rPr>
              <w:t>енных бумаг; - выполнение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</w:t>
            </w:r>
            <w:r>
              <w:rPr>
                <w:rFonts w:eastAsia="Times New Roman"/>
              </w:rPr>
              <w:t xml:space="preserve">исле: консультационных,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9.4.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АО «Золото Селигдара» ОГРН (1051400025930 ИНН 1402046014). Предметы сделок: - пред</w:t>
            </w:r>
            <w:r>
              <w:rPr>
                <w:rFonts w:eastAsia="Times New Roman"/>
              </w:rPr>
              <w:t>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</w:t>
            </w:r>
            <w:r>
              <w:rPr>
                <w:rFonts w:eastAsia="Times New Roman"/>
              </w:rPr>
              <w:t>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</w:t>
            </w:r>
            <w:r>
              <w:rPr>
                <w:rFonts w:eastAsia="Times New Roman"/>
              </w:rPr>
              <w:t xml:space="preserve">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9.5. Дать согласие на совершение ПАО «Русолово» сд</w:t>
            </w:r>
            <w:r>
              <w:rPr>
                <w:rFonts w:eastAsia="Times New Roman"/>
              </w:rPr>
              <w:t>елок, в совершении которых имеется заинтересованность, на следующих существенных условиях: Стороны сделки: ПАО «Русолово» и ООО «Артель старателей «Сининда-1» (ОГРН 1020300795305 ИНН 0317001998) Предметы сделок: - предоставление Обществом или Обществу кред</w:t>
            </w:r>
            <w:r>
              <w:rPr>
                <w:rFonts w:eastAsia="Times New Roman"/>
              </w:rPr>
              <w:t>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Обществом или для Общества работ</w:t>
            </w:r>
            <w:r>
              <w:rPr>
                <w:rFonts w:eastAsia="Times New Roman"/>
              </w:rPr>
              <w:t>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бухгалтерских, страхования, перево</w:t>
            </w:r>
            <w:r>
              <w:rPr>
                <w:rFonts w:eastAsia="Times New Roman"/>
              </w:rPr>
              <w:t xml:space="preserve">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9.6.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«АРТЕЛЬ СТАРАТЕЛЕЙ «ПОИСК» (ОГРН 1022202218411 ИНН 225100111) Предметы сделок:</w:t>
            </w:r>
            <w:r>
              <w:rPr>
                <w:rFonts w:eastAsia="Times New Roman"/>
              </w:rPr>
              <w:t xml:space="preserve"> - предоставление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</w:t>
            </w:r>
            <w:r>
              <w:rPr>
                <w:rFonts w:eastAsia="Times New Roman"/>
              </w:rPr>
              <w:t>- выполнение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</w:t>
            </w:r>
            <w:r>
              <w:rPr>
                <w:rFonts w:eastAsia="Times New Roman"/>
              </w:rPr>
              <w:t xml:space="preserve">тационных,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9.7.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ООО «ОГК» (ОГРН 1035605502624 ИНН 5610065713) Предметы сделок: - предоставление Об</w:t>
            </w:r>
            <w:r>
              <w:rPr>
                <w:rFonts w:eastAsia="Times New Roman"/>
              </w:rPr>
              <w:t>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Обществ</w:t>
            </w:r>
            <w:r>
              <w:rPr>
                <w:rFonts w:eastAsia="Times New Roman"/>
              </w:rPr>
              <w:t>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бухгалтер</w:t>
            </w:r>
            <w:r>
              <w:rPr>
                <w:rFonts w:eastAsia="Times New Roman"/>
              </w:rPr>
              <w:t xml:space="preserve">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9.8. Дать согласие на совершение ПАО «Русолово» сделок, в совер</w:t>
            </w:r>
            <w:r>
              <w:rPr>
                <w:rFonts w:eastAsia="Times New Roman"/>
              </w:rPr>
              <w:t>шении которых имеется заинтересованность, на следующих существенных условиях: Стороны сделки: ПАО «Русолово» и ООО «Азимут» (ОГРН 1087746539870 ИНН 7706688529) Предметы сделок: - предоставление Обществом или Обществу кредитов или займов, принятие обязатель</w:t>
            </w:r>
            <w:r>
              <w:rPr>
                <w:rFonts w:eastAsia="Times New Roman"/>
              </w:rPr>
              <w:t>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Обществом или для Общества работ, в том числе горных, по добыче и п</w:t>
            </w:r>
            <w:r>
              <w:rPr>
                <w:rFonts w:eastAsia="Times New Roman"/>
              </w:rPr>
              <w:t>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бухгалтерских, страхования, перевозки, транспортно-экспедиционных, хр</w:t>
            </w:r>
            <w:r>
              <w:rPr>
                <w:rFonts w:eastAsia="Times New Roman"/>
              </w:rPr>
              <w:t xml:space="preserve">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9.9. Дать согласие на совершение ПАО «Русолово» сделок, в совершении которых имеется заинтересованность, на следующих существенных условиях: Стороны сделки: ПАО «Русолово» и АО «Прейсиш-Эйлау» (ОГРН 1117746992417 ИНН 7710902824) Предметы сделок: - предоста</w:t>
            </w:r>
            <w:r>
              <w:rPr>
                <w:rFonts w:eastAsia="Times New Roman"/>
              </w:rPr>
              <w:t>вление Обществом или Обществу кредитов или займов,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</w:t>
            </w:r>
            <w:r>
              <w:rPr>
                <w:rFonts w:eastAsia="Times New Roman"/>
              </w:rPr>
              <w:t xml:space="preserve">е Обществом или для Общества работ, в том числе горных,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</w:t>
            </w:r>
            <w:r>
              <w:rPr>
                <w:rFonts w:eastAsia="Times New Roman"/>
              </w:rPr>
              <w:t xml:space="preserve">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9.10. Дать согласие на совершение ПАО «Русолово» </w:t>
            </w:r>
            <w:r>
              <w:rPr>
                <w:rFonts w:eastAsia="Times New Roman"/>
              </w:rPr>
              <w:t>сделок, в совершении которых имеется заинтересованность, на следующих существенных условиях: Стороны сделки: ПАО «Русолово» и ООО «Теплосервис» (ОГРН 1031400016515 ИНН 1402013185) Предметы сделок: - предоставление Обществом или Обществу кредитов или займов</w:t>
            </w:r>
            <w:r>
              <w:rPr>
                <w:rFonts w:eastAsia="Times New Roman"/>
              </w:rPr>
              <w:t>, принятие обязательств по векселю (выдача простого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Обществом или для Общества работ, в том числе г</w:t>
            </w:r>
            <w:r>
              <w:rPr>
                <w:rFonts w:eastAsia="Times New Roman"/>
              </w:rPr>
              <w:t>орных, по добыче и переработке руды, строительных, 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бухгалтерских, страхования, перевозки, транспортн</w:t>
            </w:r>
            <w:r>
              <w:rPr>
                <w:rFonts w:eastAsia="Times New Roman"/>
              </w:rPr>
              <w:t xml:space="preserve">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9.11. Дать согласие на совершение ПАО «Русолово» сделок, в совершении которых имеется заинтересованнос</w:t>
            </w:r>
            <w:r>
              <w:rPr>
                <w:rFonts w:eastAsia="Times New Roman"/>
              </w:rPr>
              <w:t>ть, на следующих существенных условиях: Стороны сделки: ПАО «Русолово» и ООО «Северо-Восток» (ОГРН 1097746647602 ИНН 7707713270) Предметы сделок: - предоставление Обществом или Обществу кредитов или займов, принятие обязательств по векселю (выдача простого</w:t>
            </w:r>
            <w:r>
              <w:rPr>
                <w:rFonts w:eastAsia="Times New Roman"/>
              </w:rPr>
              <w:t xml:space="preserve"> или переводного векселя); - предоставление Обществом или Обществу поручительства, банковской гарантии или залога; - купля-продажа ценных бумаг; - выполнение Обществом или для Общества работ, в том числе горных, по добыче и переработке руды, строительных, </w:t>
            </w:r>
            <w:r>
              <w:rPr>
                <w:rFonts w:eastAsia="Times New Roman"/>
              </w:rPr>
              <w:t>геологоразведочных, проектно-изыскательских, научно-исследовательских и других; - оказание Обществом или для Общества услуг, в том числе: консультационных, бухгалтерских, страхования, перевозки, транспортно-экспедиционных, хранения, агентских, комиссии, по</w:t>
            </w:r>
            <w:r>
              <w:rPr>
                <w:rFonts w:eastAsia="Times New Roman"/>
              </w:rPr>
              <w:t xml:space="preserve">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2951714617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9.12. Дать согласие на совершение ПАО «Русолово» сделок, в совершении которых имеется заинтересованность, на следующих существенных условиях: </w:t>
            </w:r>
            <w:r>
              <w:rPr>
                <w:rFonts w:eastAsia="Times New Roman"/>
              </w:rPr>
              <w:t xml:space="preserve">Стороны сделки: ПАО «Русолово» и ООО «Рябиновое» (ОГРН 1041400016250 ИНН 1402014478) Предметы сделок: - предоставление Обществом или Обществу кредитов или займов, принятие обязательств по векселю (выдача простого или переводного векселя); - предоставление </w:t>
            </w:r>
            <w:r>
              <w:rPr>
                <w:rFonts w:eastAsia="Times New Roman"/>
              </w:rPr>
              <w:t>Обществом или Обществу поручительства, банковской гарантии или залога; - купля-продажа ценных бумаг; - выполнение Обществом или для Общества работ, в том числе горных, по добыче и переработке руды, строительных, геологоразведочных, проектно-изыскательских,</w:t>
            </w:r>
            <w:r>
              <w:rPr>
                <w:rFonts w:eastAsia="Times New Roman"/>
              </w:rPr>
              <w:t xml:space="preserve"> научно-исследовательских и других; - оказание Обществом или для Общества услуг, в том числе: консультационных, бухгалтерских, страхования, перевозки, транспортно-экспедиционных, хранения, агентских, комиссии, поручения, доверительного управления;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183225837</w:t>
            </w:r>
          </w:p>
        </w:tc>
      </w:tr>
    </w:tbl>
    <w:p w:rsidR="00000000" w:rsidRDefault="007D6FAB">
      <w:pPr>
        <w:rPr>
          <w:rFonts w:eastAsia="Times New Roman"/>
        </w:rPr>
      </w:pPr>
    </w:p>
    <w:p w:rsidR="00000000" w:rsidRDefault="007D6F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D6FAB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7D6FAB">
      <w:pPr>
        <w:pStyle w:val="a3"/>
      </w:pPr>
      <w:r>
        <w:t>Полные формулировки решений 9.1-9.12 по вопросу 9 см. в файле Отчет об итогах голосования РУ.pdf.</w:t>
      </w:r>
    </w:p>
    <w:p w:rsidR="00000000" w:rsidRDefault="007D6FAB">
      <w:pPr>
        <w:pStyle w:val="a3"/>
      </w:pPr>
      <w:r>
        <w:t>Направляем Вам поступившие в НКО АО НРД итоги общего собра</w:t>
      </w:r>
      <w:r>
        <w:t>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 xml:space="preserve">стоверность информации, полученной от эмитента. </w:t>
      </w:r>
    </w:p>
    <w:p w:rsidR="00000000" w:rsidRDefault="007D6F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7D6FAB" w:rsidRDefault="007D6F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D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760A9"/>
    <w:rsid w:val="001760A9"/>
    <w:rsid w:val="007D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008dc8ca0486381ecb588169d1c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2461</Words>
  <Characters>14032</Characters>
  <Application>Microsoft Office Word</Application>
  <DocSecurity>0</DocSecurity>
  <Lines>116</Lines>
  <Paragraphs>32</Paragraphs>
  <ScaleCrop>false</ScaleCrop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2018-07-02T11:06:00Z</dcterms:created>
  <dcterms:modified xsi:type="dcterms:W3CDTF">2018-07-02T11:06:00Z</dcterms:modified>
</cp:coreProperties>
</file>