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4A0" w:firstRow="1" w:lastRow="0" w:firstColumn="1" w:lastColumn="0" w:noHBand="0" w:noVBand="1"/>
      </w:tblPr>
      <w:tblGrid>
        <w:gridCol w:w="1631"/>
        <w:gridCol w:w="5056"/>
        <w:gridCol w:w="606"/>
        <w:gridCol w:w="2063"/>
      </w:tblGrid>
      <w:tr w:rsidR="009A6E83" w:rsidRPr="009A6E83" w:rsidTr="009A6E83">
        <w:trPr>
          <w:trHeight w:val="300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bookmarkStart w:id="0" w:name="RANGE!A1"/>
          <w:p w:rsidR="009A6E83" w:rsidRPr="009A6E83" w:rsidRDefault="009A6E83" w:rsidP="009A6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begin"/>
            </w: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instrText xml:space="preserve"> HYPERLINK "file:///C:\\Users\\Пользователь\\AppData\\Local\\Microsoft\\Windows\\INetCache\\Content.MSO\\37503A4B.xlsx" \l "'TOC'!A1" </w:instrText>
            </w: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separate"/>
            </w: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TOC</w:t>
            </w: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fldChar w:fldCharType="end"/>
            </w:r>
            <w:bookmarkEnd w:id="0"/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E83" w:rsidRPr="009A6E83" w:rsidTr="009A6E83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0420413 Раздел 2. Расчет размера собственных средств профессионального участника</w:t>
            </w:r>
          </w:p>
        </w:tc>
      </w:tr>
      <w:tr w:rsidR="009A6E83" w:rsidRPr="009A6E83" w:rsidTr="009A6E83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http://www.cbr.ru/xbrl/nso/purcb/rep/2023-03-31/tab/SR_0420413/SR_0420413_r2</w:t>
            </w:r>
          </w:p>
        </w:tc>
      </w:tr>
      <w:tr w:rsidR="009A6E83" w:rsidRPr="009A6E83" w:rsidTr="009A6E83">
        <w:trPr>
          <w:trHeight w:val="300"/>
        </w:trPr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6E83" w:rsidRPr="009A6E83" w:rsidTr="009A6E83">
        <w:trPr>
          <w:trHeight w:val="765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CF5219" w:rsidP="00D60E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T= 2024-11</w:t>
            </w:r>
            <w:r w:rsidR="009A6E83"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-01 - 2024-1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="009A6E83"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-3</w:t>
            </w:r>
            <w:r w:rsidR="00D60ED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Z= EMPTY_AXIS</w:t>
            </w:r>
          </w:p>
        </w:tc>
      </w:tr>
      <w:tr w:rsidR="009A6E83" w:rsidRPr="009A6E83" w:rsidTr="009A6E83">
        <w:trPr>
          <w:trHeight w:val="300"/>
        </w:trPr>
        <w:tc>
          <w:tcPr>
            <w:tcW w:w="7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CF52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CF5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.1</w:t>
            </w:r>
            <w:r w:rsidR="00CF521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.2024</w:t>
            </w:r>
          </w:p>
        </w:tc>
      </w:tr>
      <w:tr w:rsidR="009A6E83" w:rsidRPr="009A6E83" w:rsidTr="009A6E83">
        <w:trPr>
          <w:trHeight w:val="540"/>
        </w:trPr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Активы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 профессионального участника, находящиеся в кассе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6E83" w:rsidRPr="009A6E83" w:rsidTr="009A6E83">
        <w:trPr>
          <w:trHeight w:val="106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 профессионального участника и его клиентов, находящиеся на его расчетных счетах и специальных банковских счетах в кредитных организациях и иностранных банках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CF5219" w:rsidP="009A6E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55 151,25</w:t>
            </w:r>
          </w:p>
        </w:tc>
      </w:tr>
      <w:tr w:rsidR="009A6E83" w:rsidRPr="009A6E83" w:rsidTr="009A6E83">
        <w:trPr>
          <w:trHeight w:val="157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 профессионального участника во вкладах (депозитах) в кредитных организациях и иностранных банках (за исключением субординированных депозитов), а также суммы процентов, причитающихся по вкладу (депозиту) на расчетную дату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9A6E83" w:rsidP="009A6E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6E83" w:rsidRPr="009A6E83" w:rsidTr="009A6E83">
        <w:trPr>
          <w:trHeight w:val="135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Драгоценные металлы профессионального участника во вкладах (депозитах) в кредитных организациях и иностранных банках, а также суммы процентов, причитающихся по вкладу (депозиту) на расчетную дату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9A6E83" w:rsidP="009A6E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6E83" w:rsidRPr="009A6E83" w:rsidTr="009A6E83">
        <w:trPr>
          <w:trHeight w:val="57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Драгоценные металлы профессионального участника на его счетах в кредитных организациях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9A6E83" w:rsidP="009A6E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6E83" w:rsidRPr="009A6E83" w:rsidTr="009A6E83">
        <w:trPr>
          <w:trHeight w:val="159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 профессионального участника, переданные по договору доверительного управления управляющему и (или) иностранному лицу, имеющему право в соответствии с его личным законом осуществлять деятельность по управлению ценными бумагами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9A6E83" w:rsidP="009A6E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6E83" w:rsidRPr="009A6E83" w:rsidTr="009A6E83">
        <w:trPr>
          <w:trHeight w:val="81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 профессионального участника и его клиентов, переданные по договору о брокерском обслуживании брокеру и (или) иностранному лицу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9A6E83" w:rsidP="009A6E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6E83" w:rsidRPr="009A6E83" w:rsidTr="009A6E83">
        <w:trPr>
          <w:trHeight w:val="132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Денежные средства профессионального участника и его клиентов, переданные в обеспечение исполнения обязательств профессионального участника и (или) его клиентов, включая индивидуальное и коллективное клиринговое обеспечение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CF5219" w:rsidP="00CF5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63</w:t>
            </w:r>
            <w:r w:rsidR="009A6E83"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249</w:t>
            </w:r>
            <w:r w:rsidR="009A6E83"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455</w:t>
            </w:r>
            <w:r w:rsidR="009A6E83"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  <w:r w:rsidR="009A6E83"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9A6E83" w:rsidRPr="009A6E83" w:rsidTr="009A6E83">
        <w:trPr>
          <w:trHeight w:val="130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Драгоценные металлы профессионального участника, переданные в обеспечение исполнения обязательств профессионального участника, включая индивидуальное и коллективное клиринговое обеспечение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9A6E83" w:rsidP="009A6E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6E83" w:rsidRPr="009A6E83" w:rsidTr="009A6E83">
        <w:trPr>
          <w:trHeight w:val="130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Ценные бумаги профессионального участника, переданные в обеспечение исполнения обязательств профессионального участника, включая индивидуальное и коллективное клиринговое обеспечение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9A6E83" w:rsidP="009A6E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6E83" w:rsidRPr="009A6E83" w:rsidTr="009A6E83">
        <w:trPr>
          <w:trHeight w:val="106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Дебиторская задолженность по выплате профессиональному участнику вознаграждений и возмещению расходов по договорам о возмездном оказании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9A6E83" w:rsidP="009A6E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6E83" w:rsidRPr="009A6E83" w:rsidTr="009A6E83">
        <w:trPr>
          <w:trHeight w:val="159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Дебиторская задолженность по плате, взимаемой регистратором с зарегистрированных лиц за проведение операций по лицевым счетам и за предоставление информации из реестра владельцев ценных бумаг (для профессиональных участников, являющихся регистраторами)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9A6E83" w:rsidP="009A6E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6E83" w:rsidRPr="009A6E83" w:rsidTr="009A6E83">
        <w:trPr>
          <w:trHeight w:val="181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Маржинальные займы, предоставленные клиентам профессионального участника, имеющего лицензию на осуществление брокерской деятельности, отнесенным в соответствии с договором о брокерском обслуживании к категории клиентов со стандартным уровнем риска или клиентов с повышенным уровнем риска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9A6E83" w:rsidP="009A6E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6E83" w:rsidRPr="009A6E83" w:rsidTr="009A6E83">
        <w:trPr>
          <w:trHeight w:val="105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Акции российских эмитентов, являющихся публичными акционерными обществами, и акции иностранных эмитентов, а также депозитарные расписки на них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9A6E83" w:rsidP="009A6E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6E83" w:rsidRPr="009A6E83" w:rsidTr="009A6E83">
        <w:trPr>
          <w:trHeight w:val="79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Облигации российских и иностранных эмитентов, за исключением субординированных и структурных облигаций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9A6E83" w:rsidP="00CF5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  <w:r w:rsidR="00CF5219">
              <w:rPr>
                <w:rFonts w:ascii="Calibri" w:eastAsia="Times New Roman" w:hAnsi="Calibri" w:cs="Calibri"/>
                <w:color w:val="000000"/>
                <w:lang w:eastAsia="ru-RU"/>
              </w:rPr>
              <w:t>261</w:t>
            </w: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CF5219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7 </w:t>
            </w:r>
            <w:r w:rsidR="00CF5219">
              <w:rPr>
                <w:rFonts w:ascii="Calibri" w:eastAsia="Times New Roman" w:hAnsi="Calibri" w:cs="Calibri"/>
                <w:color w:val="000000"/>
                <w:lang w:eastAsia="ru-RU"/>
              </w:rPr>
              <w:t>698</w:t>
            </w: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CF5219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9A6E83" w:rsidRPr="009A6E83" w:rsidTr="009A6E83">
        <w:trPr>
          <w:trHeight w:val="183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Инвестиционные паи паевых инвестиционных фондов, а также ценные бумаги иностранных эмитентов, которые в соответствии с их личным законом относятся к схемам коллективного инвестирования или схемам совместного инвестирования, как с образованием, так и без образования юридического лица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9A6E83" w:rsidP="009A6E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6E83" w:rsidRPr="009A6E83" w:rsidTr="009A6E83">
        <w:trPr>
          <w:trHeight w:val="76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Иные финансовые активы, предусмотренные подпунктом 2.1.15 подпункта 2.1 Указания Банка России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9A6E83" w:rsidP="009A6E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6E83" w:rsidRPr="009A6E83" w:rsidTr="009A6E83">
        <w:trPr>
          <w:trHeight w:val="106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Отложенные налоговые активы профессионального участника в сумме, не превышающей отложенных налоговых обязательств профессионального участника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9A6E83" w:rsidP="009A6E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6E83" w:rsidRPr="009A6E83" w:rsidTr="009A6E83">
        <w:trPr>
          <w:trHeight w:val="162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Недвижимое имущество профессионального участника, используемое для осуществления профессиональной деятельности на рынке ценных бумаг и (или) для его управленческих нужд, принятое профессиональным участником к бухгалтерскому учету в качестве основных средств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9A6E83" w:rsidP="009A6E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6E83" w:rsidRPr="009A6E83" w:rsidTr="009A6E83">
        <w:trPr>
          <w:trHeight w:val="1095"/>
        </w:trPr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Финансовые обязательства, оцениваемые по справедливой стоимости, изменения которой отражаются в составе прибыли или убытка, в том числе: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9A6E83" w:rsidP="009A6E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6E83" w:rsidRPr="009A6E83" w:rsidTr="009A6E83">
        <w:trPr>
          <w:trHeight w:val="82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финансовые обязательства, в обязательном порядке классифицируемые как оцениваемые по справедливой стоимости через прибыль или убыток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9A6E83" w:rsidP="009A6E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6E83" w:rsidRPr="009A6E83" w:rsidTr="009A6E83">
        <w:trPr>
          <w:trHeight w:val="106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финансовые обязательства, классифицируемые как оцениваемые по справедливой стоимости через прибыль или убыток по усмотрению </w:t>
            </w:r>
            <w:proofErr w:type="spellStart"/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некредитной</w:t>
            </w:r>
            <w:proofErr w:type="spellEnd"/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финансовой организации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9A6E83" w:rsidP="009A6E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6E83" w:rsidRPr="009A6E83" w:rsidTr="009A6E83">
        <w:trPr>
          <w:trHeight w:val="54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Финансовые обязательства, оцениваемые по амортизированной стоимости, в том числе: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CF5219" w:rsidP="00993FE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19</w:t>
            </w:r>
            <w:r w:rsidR="009A6E83"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568</w:t>
            </w:r>
            <w:r w:rsidR="009A6E83"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442</w:t>
            </w:r>
            <w:bookmarkStart w:id="1" w:name="_GoBack"/>
            <w:bookmarkEnd w:id="1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,65</w:t>
            </w:r>
            <w:r w:rsidR="009A6E83"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9A6E83" w:rsidRPr="009A6E83" w:rsidTr="009A6E83">
        <w:trPr>
          <w:trHeight w:val="34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клиентов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CF5219" w:rsidP="00CF5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12</w:t>
            </w:r>
            <w:r w:rsidR="009A6E83"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  <w:r w:rsidR="009A6E83"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  <w:r w:rsidR="009A6E83"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 w:rsidR="009A6E83"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  <w:r w:rsidR="009A6E83"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9A6E83" w:rsidRPr="009A6E83" w:rsidTr="009A6E83">
        <w:trPr>
          <w:trHeight w:val="31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кредиты, займы и прочие привлеченные средства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CF5219" w:rsidP="00CF5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5</w:t>
            </w:r>
            <w:r w:rsidR="009A6E83"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13,80</w:t>
            </w:r>
            <w:r w:rsidR="009A6E83"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9A6E83" w:rsidRPr="009A6E83" w:rsidTr="009A6E83">
        <w:trPr>
          <w:trHeight w:val="37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выпущенные долговые ценные бумаги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9A6E83" w:rsidP="009A6E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6E83" w:rsidRPr="009A6E83" w:rsidTr="009A6E83">
        <w:trPr>
          <w:trHeight w:val="33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кредиторская задолженность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21.4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CF5219" w:rsidP="00CF5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6</w:t>
            </w:r>
            <w:r w:rsidR="009A6E83"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804</w:t>
            </w:r>
            <w:r w:rsidR="009A6E83"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722</w:t>
            </w:r>
            <w:r w:rsidR="009A6E83"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  <w:r w:rsidR="009A6E83"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9A6E83" w:rsidRPr="009A6E83" w:rsidTr="009A6E83">
        <w:trPr>
          <w:trHeight w:val="75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 выбывающих групп, классифицированных как предназначенные для продажи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9A6E83" w:rsidP="009A6E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6E83" w:rsidRPr="009A6E83" w:rsidTr="009A6E83">
        <w:trPr>
          <w:trHeight w:val="78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Обязательства по вознаграждениям работникам по окончании трудовой деятельности, не ограниченным фиксируемыми платежами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9A6E83" w:rsidP="009A6E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6E83" w:rsidRPr="009A6E83" w:rsidTr="009A6E83">
        <w:trPr>
          <w:trHeight w:val="28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Обязательство по текущему налогу на прибыль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9A6E83" w:rsidP="009A6E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6E83" w:rsidRPr="009A6E83" w:rsidTr="009A6E83">
        <w:trPr>
          <w:trHeight w:val="27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Отложенные налоговые обязательства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9A6E83" w:rsidP="009A6E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6E83" w:rsidRPr="009A6E83" w:rsidTr="009A6E83">
        <w:trPr>
          <w:trHeight w:val="300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Резервы - оценочные обязательства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9A6E83" w:rsidP="009A6E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9A6E83" w:rsidRPr="009A6E83" w:rsidTr="009A6E83">
        <w:trPr>
          <w:trHeight w:val="345"/>
        </w:trPr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Прочие обязательства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9A6E83" w:rsidP="00CF5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2 </w:t>
            </w:r>
            <w:r w:rsidR="00CF5219">
              <w:rPr>
                <w:rFonts w:ascii="Calibri" w:eastAsia="Times New Roman" w:hAnsi="Calibri" w:cs="Calibri"/>
                <w:color w:val="000000"/>
                <w:lang w:eastAsia="ru-RU"/>
              </w:rPr>
              <w:t>257</w:t>
            </w: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CF5219">
              <w:rPr>
                <w:rFonts w:ascii="Calibri" w:eastAsia="Times New Roman" w:hAnsi="Calibri" w:cs="Calibri"/>
                <w:color w:val="000000"/>
                <w:lang w:eastAsia="ru-RU"/>
              </w:rPr>
              <w:t>080,</w:t>
            </w: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  <w:r w:rsidR="00CF521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9A6E83" w:rsidRPr="009A6E83" w:rsidTr="009A6E83">
        <w:trPr>
          <w:trHeight w:val="79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Суммарная стоимость активов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9A6E83" w:rsidP="00CF5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  <w:r w:rsidR="00CF5219">
              <w:rPr>
                <w:rFonts w:ascii="Calibri" w:eastAsia="Times New Roman" w:hAnsi="Calibri" w:cs="Calibri"/>
                <w:color w:val="000000"/>
                <w:lang w:eastAsia="ru-RU"/>
              </w:rPr>
              <w:t>324</w:t>
            </w: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CF5219">
              <w:rPr>
                <w:rFonts w:ascii="Calibri" w:eastAsia="Times New Roman" w:hAnsi="Calibri" w:cs="Calibri"/>
                <w:color w:val="000000"/>
                <w:lang w:eastAsia="ru-RU"/>
              </w:rPr>
              <w:t>592</w:t>
            </w: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CF5219">
              <w:rPr>
                <w:rFonts w:ascii="Calibri" w:eastAsia="Times New Roman" w:hAnsi="Calibri" w:cs="Calibri"/>
                <w:color w:val="000000"/>
                <w:lang w:eastAsia="ru-RU"/>
              </w:rPr>
              <w:t>305,27</w:t>
            </w: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9A6E83" w:rsidRPr="009A6E83" w:rsidTr="009A6E83">
        <w:trPr>
          <w:trHeight w:val="885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Суммарная стоимость пассивов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9A6E83" w:rsidP="00CF5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2</w:t>
            </w:r>
            <w:r w:rsidR="00CF5219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CF5219">
              <w:rPr>
                <w:rFonts w:ascii="Calibri" w:eastAsia="Times New Roman" w:hAnsi="Calibri" w:cs="Calibri"/>
                <w:color w:val="000000"/>
                <w:lang w:eastAsia="ru-RU"/>
              </w:rPr>
              <w:t>825</w:t>
            </w: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CF5219">
              <w:rPr>
                <w:rFonts w:ascii="Calibri" w:eastAsia="Times New Roman" w:hAnsi="Calibri" w:cs="Calibri"/>
                <w:color w:val="000000"/>
                <w:lang w:eastAsia="ru-RU"/>
              </w:rPr>
              <w:t>523,63</w:t>
            </w: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9A6E83" w:rsidRPr="009A6E83" w:rsidTr="009A6E83">
        <w:trPr>
          <w:trHeight w:val="84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Размер собственных средств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9A6E83" w:rsidRPr="009A6E83" w:rsidRDefault="009A6E83" w:rsidP="009A6E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A6E8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E83" w:rsidRPr="009A6E83" w:rsidRDefault="009A6E83" w:rsidP="00CF5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  <w:r w:rsidR="00CF5219">
              <w:rPr>
                <w:rFonts w:ascii="Calibri" w:eastAsia="Times New Roman" w:hAnsi="Calibri" w:cs="Calibri"/>
                <w:color w:val="000000"/>
                <w:lang w:eastAsia="ru-RU"/>
              </w:rPr>
              <w:t>302</w:t>
            </w: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CF5219">
              <w:rPr>
                <w:rFonts w:ascii="Calibri" w:eastAsia="Times New Roman" w:hAnsi="Calibri" w:cs="Calibri"/>
                <w:color w:val="000000"/>
                <w:lang w:eastAsia="ru-RU"/>
              </w:rPr>
              <w:t>766</w:t>
            </w: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7</w:t>
            </w:r>
            <w:r w:rsidR="00CF521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  <w:r w:rsidR="00CF521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 w:rsidRPr="009A6E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</w:tbl>
    <w:p w:rsidR="00B736D4" w:rsidRDefault="00B736D4"/>
    <w:sectPr w:rsidR="00B7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DE"/>
    <w:rsid w:val="00993FE1"/>
    <w:rsid w:val="009A6E83"/>
    <w:rsid w:val="00B736D4"/>
    <w:rsid w:val="00BE18C5"/>
    <w:rsid w:val="00CF5219"/>
    <w:rsid w:val="00D60EDA"/>
    <w:rsid w:val="00DF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C8FCDF"/>
  <w15:chartTrackingRefBased/>
  <w15:docId w15:val="{2C426108-D4B8-42FF-9B02-54451F1D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6E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6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Магомедалиева Мадина Мирзалагаджиевна</dc:creator>
  <cp:keywords/>
  <dc:description/>
  <cp:lastModifiedBy>Петрова Марина Александровна</cp:lastModifiedBy>
  <cp:revision>6</cp:revision>
  <dcterms:created xsi:type="dcterms:W3CDTF">2024-12-11T07:04:00Z</dcterms:created>
  <dcterms:modified xsi:type="dcterms:W3CDTF">2024-12-24T08:43:00Z</dcterms:modified>
</cp:coreProperties>
</file>